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88"/>
        <w:gridCol w:w="2693"/>
        <w:gridCol w:w="5103"/>
        <w:gridCol w:w="5103"/>
      </w:tblGrid>
      <w:tr w:rsidR="00EF1A3A" w:rsidRPr="00482B5C" w14:paraId="226EC6FF" w14:textId="77777777" w:rsidTr="00EF1A3A">
        <w:trPr>
          <w:trHeight w:val="416"/>
          <w:tblHeader/>
        </w:trPr>
        <w:tc>
          <w:tcPr>
            <w:tcW w:w="988" w:type="dxa"/>
          </w:tcPr>
          <w:p w14:paraId="6456B33C" w14:textId="77777777" w:rsidR="00EF1A3A" w:rsidRPr="00482B5C" w:rsidRDefault="00EF1A3A" w:rsidP="00F53148">
            <w:pPr>
              <w:rPr>
                <w:rFonts w:ascii="Book Antiqua" w:hAnsi="Book Antiqua"/>
                <w:b/>
                <w:bCs/>
                <w:szCs w:val="24"/>
              </w:rPr>
            </w:pPr>
            <w:r w:rsidRPr="00482B5C">
              <w:rPr>
                <w:rFonts w:ascii="Book Antiqua" w:hAnsi="Book Antiqua"/>
                <w:b/>
                <w:bCs/>
                <w:szCs w:val="24"/>
              </w:rPr>
              <w:t>Sl. No.</w:t>
            </w:r>
          </w:p>
        </w:tc>
        <w:tc>
          <w:tcPr>
            <w:tcW w:w="2693" w:type="dxa"/>
          </w:tcPr>
          <w:p w14:paraId="6D26E274" w14:textId="77777777" w:rsidR="00EF1A3A" w:rsidRPr="00482B5C" w:rsidRDefault="00EF1A3A" w:rsidP="00F53148">
            <w:pPr>
              <w:rPr>
                <w:rFonts w:ascii="Book Antiqua" w:hAnsi="Book Antiqua"/>
                <w:b/>
                <w:bCs/>
                <w:szCs w:val="24"/>
              </w:rPr>
            </w:pPr>
            <w:r w:rsidRPr="00482B5C">
              <w:rPr>
                <w:rFonts w:ascii="Book Antiqua" w:hAnsi="Book Antiqua"/>
                <w:b/>
                <w:bCs/>
                <w:szCs w:val="24"/>
              </w:rPr>
              <w:t>Clause Ref.</w:t>
            </w:r>
          </w:p>
        </w:tc>
        <w:tc>
          <w:tcPr>
            <w:tcW w:w="5103" w:type="dxa"/>
          </w:tcPr>
          <w:p w14:paraId="07CA7E4B" w14:textId="77777777" w:rsidR="00EF1A3A" w:rsidRPr="00482B5C" w:rsidRDefault="00EF1A3A" w:rsidP="00F53148">
            <w:pPr>
              <w:rPr>
                <w:rFonts w:ascii="Book Antiqua" w:hAnsi="Book Antiqua"/>
                <w:b/>
                <w:bCs/>
                <w:szCs w:val="24"/>
              </w:rPr>
            </w:pPr>
            <w:r w:rsidRPr="00482B5C">
              <w:rPr>
                <w:rFonts w:ascii="Book Antiqua" w:hAnsi="Book Antiqua"/>
                <w:b/>
                <w:bCs/>
                <w:szCs w:val="24"/>
              </w:rPr>
              <w:t>Existing Clause</w:t>
            </w:r>
          </w:p>
        </w:tc>
        <w:tc>
          <w:tcPr>
            <w:tcW w:w="5103" w:type="dxa"/>
          </w:tcPr>
          <w:p w14:paraId="7E5BCA59" w14:textId="77777777" w:rsidR="00EF1A3A" w:rsidRPr="00482B5C" w:rsidRDefault="00EF1A3A" w:rsidP="00F53148">
            <w:pPr>
              <w:rPr>
                <w:rFonts w:ascii="Book Antiqua" w:hAnsi="Book Antiqua"/>
                <w:b/>
                <w:bCs/>
                <w:szCs w:val="24"/>
              </w:rPr>
            </w:pPr>
            <w:r w:rsidRPr="00482B5C">
              <w:rPr>
                <w:rFonts w:ascii="Book Antiqua" w:hAnsi="Book Antiqua"/>
                <w:b/>
                <w:bCs/>
                <w:szCs w:val="24"/>
              </w:rPr>
              <w:t>Amended Clause</w:t>
            </w:r>
          </w:p>
        </w:tc>
      </w:tr>
      <w:tr w:rsidR="00EF1A3A" w:rsidRPr="00482B5C" w14:paraId="26BA9B60" w14:textId="77777777" w:rsidTr="00F53148">
        <w:tc>
          <w:tcPr>
            <w:tcW w:w="988" w:type="dxa"/>
          </w:tcPr>
          <w:p w14:paraId="0ED4F87C" w14:textId="77777777" w:rsidR="00EF1A3A" w:rsidRPr="00482B5C" w:rsidRDefault="00EF1A3A" w:rsidP="00F53148">
            <w:pPr>
              <w:rPr>
                <w:rFonts w:ascii="Book Antiqua" w:hAnsi="Book Antiqua"/>
                <w:szCs w:val="24"/>
              </w:rPr>
            </w:pPr>
            <w:r w:rsidRPr="00482B5C">
              <w:rPr>
                <w:rFonts w:ascii="Book Antiqua" w:hAnsi="Book Antiqua"/>
                <w:szCs w:val="24"/>
              </w:rPr>
              <w:t>1</w:t>
            </w:r>
          </w:p>
        </w:tc>
        <w:tc>
          <w:tcPr>
            <w:tcW w:w="2693" w:type="dxa"/>
          </w:tcPr>
          <w:p w14:paraId="1B4D6A57" w14:textId="77777777" w:rsidR="00EF1A3A" w:rsidRPr="00482B5C" w:rsidRDefault="00EF1A3A" w:rsidP="00F53148">
            <w:pPr>
              <w:rPr>
                <w:rFonts w:ascii="Book Antiqua" w:hAnsi="Book Antiqua"/>
                <w:szCs w:val="24"/>
              </w:rPr>
            </w:pPr>
            <w:r w:rsidRPr="00482B5C">
              <w:rPr>
                <w:rFonts w:ascii="Book Antiqua" w:hAnsi="Book Antiqua"/>
                <w:szCs w:val="24"/>
              </w:rPr>
              <w:t>Clause 2.4, Section-III of Bidding document</w:t>
            </w:r>
          </w:p>
        </w:tc>
        <w:tc>
          <w:tcPr>
            <w:tcW w:w="5103" w:type="dxa"/>
          </w:tcPr>
          <w:p w14:paraId="03F5556A" w14:textId="77777777" w:rsidR="00EF1A3A" w:rsidRPr="00482B5C" w:rsidRDefault="00EF1A3A" w:rsidP="00F53148">
            <w:pPr>
              <w:jc w:val="both"/>
              <w:rPr>
                <w:rFonts w:ascii="Book Antiqua" w:hAnsi="Book Antiqua" w:cs="Arial"/>
                <w:szCs w:val="24"/>
              </w:rPr>
            </w:pPr>
            <w:r w:rsidRPr="00482B5C">
              <w:rPr>
                <w:rFonts w:ascii="Book Antiqua" w:hAnsi="Book Antiqua" w:cs="Arial"/>
                <w:szCs w:val="24"/>
              </w:rPr>
              <w:t>2.4 CONFLICT OF INTEREST</w:t>
            </w:r>
          </w:p>
          <w:p w14:paraId="75DA73C2" w14:textId="77777777" w:rsidR="00EF1A3A" w:rsidRPr="00482B5C" w:rsidRDefault="00EF1A3A" w:rsidP="00F53148">
            <w:pPr>
              <w:ind w:left="1134" w:hanging="1003"/>
              <w:jc w:val="both"/>
              <w:rPr>
                <w:rFonts w:ascii="Book Antiqua" w:hAnsi="Book Antiqua" w:cs="Arial"/>
                <w:szCs w:val="24"/>
              </w:rPr>
            </w:pPr>
          </w:p>
          <w:p w14:paraId="5897D8C7" w14:textId="77777777" w:rsidR="00EF1A3A" w:rsidRPr="00482B5C" w:rsidRDefault="00EF1A3A" w:rsidP="00F53148">
            <w:pPr>
              <w:ind w:left="49"/>
              <w:jc w:val="both"/>
              <w:rPr>
                <w:rFonts w:ascii="Book Antiqua" w:hAnsi="Book Antiqua" w:cs="Arial"/>
                <w:szCs w:val="24"/>
              </w:rPr>
            </w:pPr>
            <w:r w:rsidRPr="00482B5C">
              <w:rPr>
                <w:rFonts w:ascii="Book Antiqua" w:hAnsi="Book Antiqua" w:cs="Arial"/>
                <w:szCs w:val="24"/>
              </w:rPr>
              <w:t>Bidder shall not have a conflict of interest that may affect the Selection Process or the Consultancy (the "Conflict of Interest"). Any bidder found to have a Conflict of Interest shall be disqualified. A bidder may be considered to have a conflict of interest with one or more parties in this bidding process, if:</w:t>
            </w:r>
          </w:p>
          <w:p w14:paraId="54643B82" w14:textId="77777777" w:rsidR="00EF1A3A" w:rsidRPr="00482B5C" w:rsidRDefault="00EF1A3A" w:rsidP="00F53148">
            <w:pPr>
              <w:ind w:left="1134" w:hanging="1003"/>
              <w:jc w:val="both"/>
              <w:rPr>
                <w:rFonts w:ascii="Book Antiqua" w:hAnsi="Book Antiqua" w:cs="Arial"/>
                <w:szCs w:val="24"/>
              </w:rPr>
            </w:pPr>
          </w:p>
          <w:p w14:paraId="244BD5AD" w14:textId="77777777" w:rsidR="00EF1A3A" w:rsidRDefault="00EF1A3A" w:rsidP="00F53148">
            <w:pPr>
              <w:ind w:left="1134" w:hanging="1003"/>
              <w:jc w:val="both"/>
              <w:rPr>
                <w:rFonts w:ascii="Book Antiqua" w:hAnsi="Book Antiqua" w:cs="Arial"/>
                <w:szCs w:val="24"/>
              </w:rPr>
            </w:pPr>
          </w:p>
          <w:p w14:paraId="661380F8" w14:textId="77777777" w:rsidR="00662D8B" w:rsidRPr="00482B5C" w:rsidRDefault="00662D8B" w:rsidP="00F53148">
            <w:pPr>
              <w:ind w:left="1134" w:hanging="1003"/>
              <w:jc w:val="both"/>
              <w:rPr>
                <w:rFonts w:ascii="Book Antiqua" w:hAnsi="Book Antiqua" w:cs="Arial"/>
                <w:szCs w:val="24"/>
              </w:rPr>
            </w:pPr>
          </w:p>
          <w:p w14:paraId="0C511376" w14:textId="77777777" w:rsidR="00EF1A3A" w:rsidRPr="00482B5C" w:rsidRDefault="00EF1A3A" w:rsidP="00EF1A3A">
            <w:pPr>
              <w:pStyle w:val="ListParagraph"/>
              <w:numPr>
                <w:ilvl w:val="0"/>
                <w:numId w:val="1"/>
              </w:numPr>
              <w:ind w:left="757"/>
              <w:contextualSpacing w:val="0"/>
              <w:jc w:val="both"/>
              <w:rPr>
                <w:rFonts w:ascii="Book Antiqua" w:hAnsi="Book Antiqua" w:cs="Arial"/>
                <w:szCs w:val="24"/>
              </w:rPr>
            </w:pPr>
            <w:r w:rsidRPr="00482B5C">
              <w:rPr>
                <w:rFonts w:ascii="Book Antiqua" w:hAnsi="Book Antiqua" w:cs="Arial"/>
                <w:szCs w:val="24"/>
              </w:rPr>
              <w:t>they have a controlling partner in common; or</w:t>
            </w:r>
          </w:p>
          <w:p w14:paraId="1D643F88" w14:textId="77777777" w:rsidR="00EF1A3A" w:rsidRPr="00482B5C" w:rsidRDefault="00EF1A3A" w:rsidP="00F53148">
            <w:pPr>
              <w:pStyle w:val="ListParagraph"/>
              <w:ind w:left="2130"/>
              <w:jc w:val="both"/>
              <w:rPr>
                <w:rFonts w:ascii="Book Antiqua" w:hAnsi="Book Antiqua" w:cs="Arial"/>
                <w:szCs w:val="24"/>
              </w:rPr>
            </w:pPr>
          </w:p>
          <w:p w14:paraId="29E5F795" w14:textId="77777777" w:rsidR="00EF1A3A" w:rsidRPr="00482B5C" w:rsidRDefault="00EF1A3A" w:rsidP="00EF1A3A">
            <w:pPr>
              <w:pStyle w:val="ListParagraph"/>
              <w:numPr>
                <w:ilvl w:val="0"/>
                <w:numId w:val="1"/>
              </w:numPr>
              <w:ind w:left="757"/>
              <w:contextualSpacing w:val="0"/>
              <w:jc w:val="both"/>
              <w:rPr>
                <w:rFonts w:ascii="Book Antiqua" w:hAnsi="Book Antiqua" w:cs="Arial"/>
                <w:szCs w:val="24"/>
              </w:rPr>
            </w:pPr>
            <w:r w:rsidRPr="00482B5C">
              <w:rPr>
                <w:rFonts w:ascii="Book Antiqua" w:hAnsi="Book Antiqua" w:cs="Arial"/>
                <w:szCs w:val="24"/>
              </w:rPr>
              <w:t>they receive or have received any direct or indirect subsidy /financial stake from any of them; or</w:t>
            </w:r>
          </w:p>
          <w:p w14:paraId="7657EB4A" w14:textId="77777777" w:rsidR="00EF1A3A" w:rsidRPr="00482B5C" w:rsidRDefault="00EF1A3A" w:rsidP="00F53148">
            <w:pPr>
              <w:pStyle w:val="ListParagraph"/>
              <w:ind w:left="757"/>
              <w:contextualSpacing w:val="0"/>
              <w:jc w:val="both"/>
              <w:rPr>
                <w:rFonts w:ascii="Book Antiqua" w:hAnsi="Book Antiqua" w:cs="Arial"/>
                <w:szCs w:val="24"/>
              </w:rPr>
            </w:pPr>
          </w:p>
          <w:p w14:paraId="25EA5FC2" w14:textId="77777777" w:rsidR="00EF1A3A" w:rsidRPr="00482B5C" w:rsidRDefault="00EF1A3A" w:rsidP="00EF1A3A">
            <w:pPr>
              <w:pStyle w:val="ListParagraph"/>
              <w:numPr>
                <w:ilvl w:val="0"/>
                <w:numId w:val="1"/>
              </w:numPr>
              <w:ind w:left="757"/>
              <w:contextualSpacing w:val="0"/>
              <w:jc w:val="both"/>
              <w:rPr>
                <w:rFonts w:ascii="Book Antiqua" w:hAnsi="Book Antiqua" w:cs="Arial"/>
                <w:szCs w:val="24"/>
              </w:rPr>
            </w:pPr>
            <w:r w:rsidRPr="00482B5C">
              <w:rPr>
                <w:rFonts w:ascii="Book Antiqua" w:hAnsi="Book Antiqua" w:cs="Arial"/>
                <w:szCs w:val="24"/>
              </w:rPr>
              <w:t>they have the same legal representative/agent for purposes of this Proposal; or</w:t>
            </w:r>
          </w:p>
          <w:p w14:paraId="2B686248" w14:textId="77777777" w:rsidR="00EF1A3A" w:rsidRPr="00482B5C" w:rsidRDefault="00EF1A3A" w:rsidP="00F53148">
            <w:pPr>
              <w:pStyle w:val="ListParagraph"/>
              <w:ind w:left="757"/>
              <w:contextualSpacing w:val="0"/>
              <w:jc w:val="both"/>
              <w:rPr>
                <w:rFonts w:ascii="Book Antiqua" w:hAnsi="Book Antiqua" w:cs="Arial"/>
                <w:szCs w:val="24"/>
              </w:rPr>
            </w:pPr>
          </w:p>
          <w:p w14:paraId="5E8F1E99" w14:textId="77777777" w:rsidR="00EF1A3A" w:rsidRPr="00482B5C" w:rsidRDefault="00EF1A3A" w:rsidP="00EF1A3A">
            <w:pPr>
              <w:pStyle w:val="ListParagraph"/>
              <w:numPr>
                <w:ilvl w:val="0"/>
                <w:numId w:val="1"/>
              </w:numPr>
              <w:ind w:left="757"/>
              <w:contextualSpacing w:val="0"/>
              <w:jc w:val="both"/>
              <w:rPr>
                <w:rFonts w:ascii="Book Antiqua" w:hAnsi="Book Antiqua" w:cs="Arial"/>
                <w:szCs w:val="24"/>
              </w:rPr>
            </w:pPr>
            <w:r w:rsidRPr="00482B5C">
              <w:rPr>
                <w:rFonts w:ascii="Book Antiqua" w:hAnsi="Book Antiqua" w:cs="Arial"/>
                <w:szCs w:val="24"/>
              </w:rPr>
              <w:t xml:space="preserve">they have a relationship with each other, directly or through common third parties, that puts them in a position to have access to information about or influence on the Proposal of </w:t>
            </w:r>
            <w:r w:rsidRPr="00482B5C">
              <w:rPr>
                <w:rFonts w:ascii="Book Antiqua" w:hAnsi="Book Antiqua" w:cs="Arial"/>
                <w:szCs w:val="24"/>
              </w:rPr>
              <w:lastRenderedPageBreak/>
              <w:t>another Bidder, or influence the decisions of the Employer regarding this bidding process.</w:t>
            </w:r>
          </w:p>
          <w:p w14:paraId="3395C77F" w14:textId="77777777" w:rsidR="00EF1A3A" w:rsidRPr="00482B5C" w:rsidRDefault="00EF1A3A" w:rsidP="00F53148">
            <w:pPr>
              <w:jc w:val="both"/>
              <w:rPr>
                <w:rFonts w:ascii="Book Antiqua" w:hAnsi="Book Antiqua" w:cs="Arial"/>
                <w:szCs w:val="24"/>
              </w:rPr>
            </w:pPr>
          </w:p>
          <w:p w14:paraId="14132CE7" w14:textId="77777777" w:rsidR="00EF1A3A" w:rsidRPr="00482B5C" w:rsidRDefault="00EF1A3A" w:rsidP="00EF1A3A">
            <w:pPr>
              <w:pStyle w:val="ListParagraph"/>
              <w:numPr>
                <w:ilvl w:val="0"/>
                <w:numId w:val="1"/>
              </w:numPr>
              <w:ind w:left="757"/>
              <w:contextualSpacing w:val="0"/>
              <w:jc w:val="both"/>
              <w:rPr>
                <w:rFonts w:ascii="Book Antiqua" w:hAnsi="Book Antiqua" w:cs="Arial"/>
                <w:szCs w:val="24"/>
              </w:rPr>
            </w:pPr>
            <w:r w:rsidRPr="00482B5C">
              <w:rPr>
                <w:rFonts w:ascii="Book Antiqua" w:hAnsi="Book Antiqua" w:cs="Arial"/>
                <w:szCs w:val="24"/>
              </w:rPr>
              <w:t xml:space="preserve">a Bidder submits more than one bid in this bidding process, either individually or as a partner in a joint venture. This will result in the disqualification of all such bids. </w:t>
            </w:r>
          </w:p>
          <w:p w14:paraId="3EAE649F" w14:textId="77777777" w:rsidR="00EF1A3A" w:rsidRPr="00482B5C" w:rsidRDefault="00EF1A3A" w:rsidP="00F53148">
            <w:pPr>
              <w:jc w:val="both"/>
              <w:rPr>
                <w:rFonts w:ascii="Book Antiqua" w:hAnsi="Book Antiqua" w:cs="Arial"/>
                <w:szCs w:val="24"/>
              </w:rPr>
            </w:pPr>
          </w:p>
          <w:p w14:paraId="7C721C47" w14:textId="2E2BB9C7" w:rsidR="00EF1A3A" w:rsidRPr="006737B5" w:rsidRDefault="00EF1A3A" w:rsidP="00F53148">
            <w:pPr>
              <w:pStyle w:val="ListParagraph"/>
              <w:numPr>
                <w:ilvl w:val="0"/>
                <w:numId w:val="1"/>
              </w:numPr>
              <w:ind w:left="757"/>
              <w:contextualSpacing w:val="0"/>
              <w:jc w:val="both"/>
              <w:rPr>
                <w:rFonts w:ascii="Book Antiqua" w:hAnsi="Book Antiqua"/>
                <w:szCs w:val="24"/>
              </w:rPr>
            </w:pPr>
            <w:r w:rsidRPr="00482B5C">
              <w:rPr>
                <w:rFonts w:ascii="Book Antiqua" w:hAnsi="Book Antiqua"/>
                <w:szCs w:val="24"/>
              </w:rPr>
              <w:t>In case of a holding company having more than one independent manufacturing units, or more than one unit having common business ownership/management and submits bid from more than one units. Similar restrictions would apply to closely related sister companies. Bidders must proactively declare such sister/ common business/ management units in same/ similar line of business;</w:t>
            </w:r>
          </w:p>
          <w:p w14:paraId="18435932" w14:textId="77777777" w:rsidR="00662D8B" w:rsidRPr="00482B5C" w:rsidRDefault="00662D8B" w:rsidP="00F53148">
            <w:pPr>
              <w:jc w:val="both"/>
              <w:rPr>
                <w:rFonts w:ascii="Book Antiqua" w:hAnsi="Book Antiqua"/>
                <w:szCs w:val="24"/>
              </w:rPr>
            </w:pPr>
          </w:p>
          <w:p w14:paraId="40B3C56E" w14:textId="77777777" w:rsidR="00EF1A3A" w:rsidRPr="00482B5C" w:rsidRDefault="00EF1A3A" w:rsidP="00EF1A3A">
            <w:pPr>
              <w:pStyle w:val="ListParagraph"/>
              <w:numPr>
                <w:ilvl w:val="0"/>
                <w:numId w:val="1"/>
              </w:numPr>
              <w:ind w:left="757"/>
              <w:contextualSpacing w:val="0"/>
              <w:jc w:val="both"/>
              <w:rPr>
                <w:rFonts w:ascii="Book Antiqua" w:hAnsi="Book Antiqua" w:cs="Arial"/>
                <w:szCs w:val="24"/>
              </w:rPr>
            </w:pPr>
            <w:r w:rsidRPr="00482B5C">
              <w:rPr>
                <w:rFonts w:ascii="Book Antiqua" w:hAnsi="Book Antiqua"/>
                <w:szCs w:val="24"/>
              </w:rPr>
              <w:t>a Bidder or any of its affiliates has been hired (or is proposed to be hired) by the Employer as Project Manager for the contract.</w:t>
            </w:r>
          </w:p>
          <w:p w14:paraId="4BA9ED8B" w14:textId="77777777" w:rsidR="00EF1A3A" w:rsidRPr="00482B5C" w:rsidRDefault="00EF1A3A" w:rsidP="00F53148">
            <w:pPr>
              <w:ind w:left="1134" w:hanging="1003"/>
              <w:jc w:val="both"/>
              <w:rPr>
                <w:rFonts w:ascii="Book Antiqua" w:hAnsi="Book Antiqua" w:cs="Arial"/>
                <w:szCs w:val="24"/>
              </w:rPr>
            </w:pPr>
            <w:r w:rsidRPr="00482B5C">
              <w:rPr>
                <w:rFonts w:ascii="Book Antiqua" w:hAnsi="Book Antiqua" w:cs="Arial"/>
                <w:szCs w:val="24"/>
              </w:rPr>
              <w:tab/>
            </w:r>
          </w:p>
          <w:p w14:paraId="510ACC81" w14:textId="77777777" w:rsidR="00EF1A3A" w:rsidRPr="00482B5C" w:rsidRDefault="00EF1A3A" w:rsidP="00F53148">
            <w:pPr>
              <w:jc w:val="both"/>
              <w:rPr>
                <w:rFonts w:ascii="Book Antiqua" w:hAnsi="Book Antiqua"/>
                <w:szCs w:val="24"/>
              </w:rPr>
            </w:pPr>
            <w:r w:rsidRPr="00482B5C">
              <w:rPr>
                <w:rFonts w:ascii="Book Antiqua" w:hAnsi="Book Antiqua" w:cs="Arial"/>
                <w:szCs w:val="24"/>
              </w:rPr>
              <w:lastRenderedPageBreak/>
              <w:t>The Consultant has an obligation to disclose to the Employer any situation of actual or potential conflict that impacts its capacity to serve the best interest of its Employer. Failure to disclose such situations may lead to the disqualification of the Consultant or the termination of its Contract.</w:t>
            </w:r>
          </w:p>
        </w:tc>
        <w:tc>
          <w:tcPr>
            <w:tcW w:w="5103" w:type="dxa"/>
          </w:tcPr>
          <w:p w14:paraId="265456FE" w14:textId="77777777" w:rsidR="00EF1A3A" w:rsidRPr="00482B5C" w:rsidRDefault="00EF1A3A" w:rsidP="00F53148">
            <w:pPr>
              <w:jc w:val="both"/>
              <w:rPr>
                <w:rFonts w:ascii="Book Antiqua" w:hAnsi="Book Antiqua" w:cs="Arial"/>
                <w:szCs w:val="24"/>
              </w:rPr>
            </w:pPr>
            <w:r w:rsidRPr="00482B5C">
              <w:rPr>
                <w:rFonts w:ascii="Book Antiqua" w:hAnsi="Book Antiqua" w:cs="Arial"/>
                <w:szCs w:val="24"/>
              </w:rPr>
              <w:lastRenderedPageBreak/>
              <w:t>2.4 CONFLICT OF INTEREST</w:t>
            </w:r>
          </w:p>
          <w:p w14:paraId="0C9A17DB" w14:textId="77777777" w:rsidR="00EF1A3A" w:rsidRPr="00482B5C" w:rsidRDefault="00EF1A3A" w:rsidP="00F53148">
            <w:pPr>
              <w:ind w:left="1134" w:hanging="1003"/>
              <w:jc w:val="both"/>
              <w:rPr>
                <w:rFonts w:ascii="Book Antiqua" w:hAnsi="Book Antiqua" w:cs="Arial"/>
                <w:szCs w:val="24"/>
              </w:rPr>
            </w:pPr>
          </w:p>
          <w:p w14:paraId="0F6EB25F" w14:textId="1C6D5BB1" w:rsidR="00EF1A3A" w:rsidRDefault="00EF1A3A" w:rsidP="00EF1A3A">
            <w:pPr>
              <w:ind w:left="745" w:hanging="696"/>
              <w:jc w:val="both"/>
              <w:rPr>
                <w:rFonts w:ascii="Book Antiqua" w:hAnsi="Book Antiqua" w:cs="Arial"/>
                <w:szCs w:val="24"/>
              </w:rPr>
            </w:pPr>
            <w:r w:rsidRPr="00482B5C">
              <w:rPr>
                <w:rFonts w:ascii="Book Antiqua" w:hAnsi="Book Antiqua" w:cs="Arial"/>
                <w:b/>
                <w:bCs/>
                <w:szCs w:val="24"/>
              </w:rPr>
              <w:t>2.4.1</w:t>
            </w:r>
            <w:r w:rsidRPr="00482B5C">
              <w:rPr>
                <w:rFonts w:ascii="Book Antiqua" w:hAnsi="Book Antiqua" w:cs="Arial"/>
                <w:szCs w:val="24"/>
              </w:rPr>
              <w:t xml:space="preserve">    Bidder shall not have a conflict of interest that may affect the Selection Process or the Consultancy (the "Conflict of Interest"). Any bidder found to have a Conflict of Interest shall be disqualified. A bidder may be considered to have a conflict of interest with one or more parties in this bidding process, if:</w:t>
            </w:r>
          </w:p>
          <w:p w14:paraId="4035BBB0" w14:textId="77777777" w:rsidR="00662D8B" w:rsidRPr="00482B5C" w:rsidRDefault="00662D8B" w:rsidP="00EF1A3A">
            <w:pPr>
              <w:ind w:left="745" w:hanging="696"/>
              <w:jc w:val="both"/>
              <w:rPr>
                <w:rFonts w:ascii="Book Antiqua" w:hAnsi="Book Antiqua" w:cs="Arial"/>
                <w:szCs w:val="24"/>
              </w:rPr>
            </w:pPr>
          </w:p>
          <w:p w14:paraId="24BDB02B" w14:textId="77777777" w:rsidR="00EF1A3A" w:rsidRPr="00482B5C" w:rsidRDefault="00EF1A3A" w:rsidP="00EF1A3A">
            <w:pPr>
              <w:pStyle w:val="ListParagraph"/>
              <w:numPr>
                <w:ilvl w:val="0"/>
                <w:numId w:val="2"/>
              </w:numPr>
              <w:ind w:left="745"/>
              <w:contextualSpacing w:val="0"/>
              <w:jc w:val="both"/>
              <w:rPr>
                <w:rFonts w:ascii="Book Antiqua" w:hAnsi="Book Antiqua" w:cs="Arial"/>
                <w:szCs w:val="24"/>
              </w:rPr>
            </w:pPr>
            <w:r w:rsidRPr="00482B5C">
              <w:rPr>
                <w:rFonts w:ascii="Book Antiqua" w:hAnsi="Book Antiqua" w:cs="Arial"/>
                <w:szCs w:val="24"/>
              </w:rPr>
              <w:t>they have a controlling partner in common; or</w:t>
            </w:r>
          </w:p>
          <w:p w14:paraId="1C1C2A4E" w14:textId="77777777" w:rsidR="00EF1A3A" w:rsidRPr="00482B5C" w:rsidRDefault="00EF1A3A" w:rsidP="00F53148">
            <w:pPr>
              <w:pStyle w:val="ListParagraph"/>
              <w:ind w:left="2130"/>
              <w:jc w:val="both"/>
              <w:rPr>
                <w:rFonts w:ascii="Book Antiqua" w:hAnsi="Book Antiqua" w:cs="Arial"/>
                <w:szCs w:val="24"/>
              </w:rPr>
            </w:pPr>
          </w:p>
          <w:p w14:paraId="7F8FAD27" w14:textId="77777777" w:rsidR="00EF1A3A" w:rsidRPr="00482B5C" w:rsidRDefault="00EF1A3A" w:rsidP="00EF1A3A">
            <w:pPr>
              <w:pStyle w:val="ListParagraph"/>
              <w:numPr>
                <w:ilvl w:val="0"/>
                <w:numId w:val="2"/>
              </w:numPr>
              <w:ind w:left="757"/>
              <w:contextualSpacing w:val="0"/>
              <w:jc w:val="both"/>
              <w:rPr>
                <w:rFonts w:ascii="Book Antiqua" w:hAnsi="Book Antiqua" w:cs="Arial"/>
                <w:szCs w:val="24"/>
              </w:rPr>
            </w:pPr>
            <w:r w:rsidRPr="00482B5C">
              <w:rPr>
                <w:rFonts w:ascii="Book Antiqua" w:hAnsi="Book Antiqua" w:cs="Arial"/>
                <w:szCs w:val="24"/>
              </w:rPr>
              <w:t>they receive or have received any direct or indirect subsidy /financial stake from any of them; or</w:t>
            </w:r>
          </w:p>
          <w:p w14:paraId="45F2A18F" w14:textId="77777777" w:rsidR="00EF1A3A" w:rsidRPr="00482B5C" w:rsidRDefault="00EF1A3A" w:rsidP="00F53148">
            <w:pPr>
              <w:pStyle w:val="ListParagraph"/>
              <w:ind w:left="757"/>
              <w:contextualSpacing w:val="0"/>
              <w:jc w:val="both"/>
              <w:rPr>
                <w:rFonts w:ascii="Book Antiqua" w:hAnsi="Book Antiqua" w:cs="Arial"/>
                <w:szCs w:val="24"/>
              </w:rPr>
            </w:pPr>
          </w:p>
          <w:p w14:paraId="082CD67A" w14:textId="77777777" w:rsidR="00EF1A3A" w:rsidRPr="00482B5C" w:rsidRDefault="00EF1A3A" w:rsidP="00EF1A3A">
            <w:pPr>
              <w:pStyle w:val="ListParagraph"/>
              <w:numPr>
                <w:ilvl w:val="0"/>
                <w:numId w:val="2"/>
              </w:numPr>
              <w:ind w:left="757"/>
              <w:contextualSpacing w:val="0"/>
              <w:jc w:val="both"/>
              <w:rPr>
                <w:rFonts w:ascii="Book Antiqua" w:hAnsi="Book Antiqua" w:cs="Arial"/>
                <w:szCs w:val="24"/>
              </w:rPr>
            </w:pPr>
            <w:r w:rsidRPr="00482B5C">
              <w:rPr>
                <w:rFonts w:ascii="Book Antiqua" w:hAnsi="Book Antiqua" w:cs="Arial"/>
                <w:szCs w:val="24"/>
              </w:rPr>
              <w:t>they have the same legal representative/agent for purposes of this Proposal; or</w:t>
            </w:r>
          </w:p>
          <w:p w14:paraId="3B2CAC89" w14:textId="77777777" w:rsidR="00EF1A3A" w:rsidRPr="00482B5C" w:rsidRDefault="00EF1A3A" w:rsidP="00F53148">
            <w:pPr>
              <w:pStyle w:val="ListParagraph"/>
              <w:ind w:left="757"/>
              <w:contextualSpacing w:val="0"/>
              <w:jc w:val="both"/>
              <w:rPr>
                <w:rFonts w:ascii="Book Antiqua" w:hAnsi="Book Antiqua" w:cs="Arial"/>
                <w:szCs w:val="24"/>
              </w:rPr>
            </w:pPr>
          </w:p>
          <w:p w14:paraId="3BE3CFAC" w14:textId="77777777" w:rsidR="00EF1A3A" w:rsidRPr="00482B5C" w:rsidRDefault="00EF1A3A" w:rsidP="00EF1A3A">
            <w:pPr>
              <w:pStyle w:val="ListParagraph"/>
              <w:numPr>
                <w:ilvl w:val="0"/>
                <w:numId w:val="2"/>
              </w:numPr>
              <w:ind w:left="757"/>
              <w:contextualSpacing w:val="0"/>
              <w:jc w:val="both"/>
              <w:rPr>
                <w:rFonts w:ascii="Book Antiqua" w:hAnsi="Book Antiqua" w:cs="Arial"/>
                <w:szCs w:val="24"/>
              </w:rPr>
            </w:pPr>
            <w:r w:rsidRPr="00482B5C">
              <w:rPr>
                <w:rFonts w:ascii="Book Antiqua" w:hAnsi="Book Antiqua" w:cs="Arial"/>
                <w:szCs w:val="24"/>
              </w:rPr>
              <w:t xml:space="preserve">they have a relationship with each other, directly or through common third parties, that puts them in a position to have access to information about or influence on the Proposal of </w:t>
            </w:r>
            <w:r w:rsidRPr="00482B5C">
              <w:rPr>
                <w:rFonts w:ascii="Book Antiqua" w:hAnsi="Book Antiqua" w:cs="Arial"/>
                <w:szCs w:val="24"/>
              </w:rPr>
              <w:lastRenderedPageBreak/>
              <w:t>another Bidder, or influence the decisions of the Employer regarding this bidding process.</w:t>
            </w:r>
          </w:p>
          <w:p w14:paraId="2DA2D366" w14:textId="77777777" w:rsidR="00EF1A3A" w:rsidRPr="00482B5C" w:rsidRDefault="00EF1A3A" w:rsidP="00F53148">
            <w:pPr>
              <w:jc w:val="both"/>
              <w:rPr>
                <w:rFonts w:ascii="Book Antiqua" w:hAnsi="Book Antiqua" w:cs="Arial"/>
                <w:szCs w:val="24"/>
              </w:rPr>
            </w:pPr>
          </w:p>
          <w:p w14:paraId="5A94C8B2" w14:textId="77777777" w:rsidR="00EF1A3A" w:rsidRPr="00482B5C" w:rsidRDefault="00EF1A3A" w:rsidP="00EF1A3A">
            <w:pPr>
              <w:pStyle w:val="ListParagraph"/>
              <w:numPr>
                <w:ilvl w:val="0"/>
                <w:numId w:val="2"/>
              </w:numPr>
              <w:ind w:left="757"/>
              <w:contextualSpacing w:val="0"/>
              <w:jc w:val="both"/>
              <w:rPr>
                <w:rFonts w:ascii="Book Antiqua" w:hAnsi="Book Antiqua" w:cs="Arial"/>
                <w:szCs w:val="24"/>
              </w:rPr>
            </w:pPr>
            <w:r w:rsidRPr="00482B5C">
              <w:rPr>
                <w:rFonts w:ascii="Book Antiqua" w:hAnsi="Book Antiqua" w:cs="Arial"/>
                <w:szCs w:val="24"/>
              </w:rPr>
              <w:t xml:space="preserve">a Bidder submits more than one bid in this bidding process, either individually or as a partner in a joint venture. This will result in the disqualification of all such bids. </w:t>
            </w:r>
          </w:p>
          <w:p w14:paraId="18E429EF" w14:textId="77777777" w:rsidR="00EF1A3A" w:rsidRPr="00482B5C" w:rsidRDefault="00EF1A3A" w:rsidP="00F53148">
            <w:pPr>
              <w:jc w:val="both"/>
              <w:rPr>
                <w:rFonts w:ascii="Book Antiqua" w:hAnsi="Book Antiqua" w:cs="Arial"/>
                <w:szCs w:val="24"/>
              </w:rPr>
            </w:pPr>
          </w:p>
          <w:p w14:paraId="7B0A3B3B" w14:textId="6F3495CA" w:rsidR="00662D8B" w:rsidRPr="006737B5" w:rsidRDefault="00EF1A3A" w:rsidP="00F53148">
            <w:pPr>
              <w:pStyle w:val="ListParagraph"/>
              <w:numPr>
                <w:ilvl w:val="0"/>
                <w:numId w:val="2"/>
              </w:numPr>
              <w:ind w:left="757"/>
              <w:contextualSpacing w:val="0"/>
              <w:jc w:val="both"/>
              <w:rPr>
                <w:rFonts w:ascii="Book Antiqua" w:hAnsi="Book Antiqua"/>
                <w:szCs w:val="24"/>
              </w:rPr>
            </w:pPr>
            <w:r w:rsidRPr="00482B5C">
              <w:rPr>
                <w:rFonts w:ascii="Book Antiqua" w:hAnsi="Book Antiqua"/>
                <w:szCs w:val="24"/>
              </w:rPr>
              <w:t>In case of a holding company having more than one independent manufacturing units, or more than one unit having common business ownership/management and submits bid from more than one units. Similar restrictions would apply to closely related sister companies. Bidders must proactively declare such sister/ common business/ management units in same/ similar line of business;</w:t>
            </w:r>
          </w:p>
          <w:p w14:paraId="5A962F6A" w14:textId="77777777" w:rsidR="00662D8B" w:rsidRPr="00482B5C" w:rsidRDefault="00662D8B" w:rsidP="00F53148">
            <w:pPr>
              <w:jc w:val="both"/>
              <w:rPr>
                <w:rFonts w:ascii="Book Antiqua" w:hAnsi="Book Antiqua"/>
                <w:szCs w:val="24"/>
              </w:rPr>
            </w:pPr>
          </w:p>
          <w:p w14:paraId="2E1ACFC1" w14:textId="77777777" w:rsidR="00EF1A3A" w:rsidRPr="00482B5C" w:rsidRDefault="00EF1A3A" w:rsidP="00EF1A3A">
            <w:pPr>
              <w:pStyle w:val="ListParagraph"/>
              <w:numPr>
                <w:ilvl w:val="0"/>
                <w:numId w:val="2"/>
              </w:numPr>
              <w:ind w:left="757"/>
              <w:contextualSpacing w:val="0"/>
              <w:jc w:val="both"/>
              <w:rPr>
                <w:rFonts w:ascii="Book Antiqua" w:hAnsi="Book Antiqua" w:cs="Arial"/>
                <w:szCs w:val="24"/>
              </w:rPr>
            </w:pPr>
            <w:r w:rsidRPr="00482B5C">
              <w:rPr>
                <w:rFonts w:ascii="Book Antiqua" w:hAnsi="Book Antiqua"/>
                <w:szCs w:val="24"/>
              </w:rPr>
              <w:t>a Bidder or any of its affiliates has been hired (or is proposed to be hired) by the Employer as Project Manager for the contract.</w:t>
            </w:r>
          </w:p>
          <w:p w14:paraId="55A0DB81" w14:textId="77777777" w:rsidR="00EF1A3A" w:rsidRPr="00482B5C" w:rsidRDefault="00EF1A3A" w:rsidP="00F53148">
            <w:pPr>
              <w:ind w:left="1134" w:hanging="1003"/>
              <w:jc w:val="both"/>
              <w:rPr>
                <w:rFonts w:ascii="Book Antiqua" w:hAnsi="Book Antiqua" w:cs="Arial"/>
                <w:szCs w:val="24"/>
              </w:rPr>
            </w:pPr>
            <w:r w:rsidRPr="00482B5C">
              <w:rPr>
                <w:rFonts w:ascii="Book Antiqua" w:hAnsi="Book Antiqua" w:cs="Arial"/>
                <w:szCs w:val="24"/>
              </w:rPr>
              <w:tab/>
            </w:r>
          </w:p>
          <w:p w14:paraId="1711CD24" w14:textId="77777777" w:rsidR="00EF1A3A" w:rsidRPr="00482B5C" w:rsidRDefault="00EF1A3A" w:rsidP="00F53148">
            <w:pPr>
              <w:ind w:left="604" w:hanging="604"/>
              <w:jc w:val="both"/>
              <w:rPr>
                <w:rFonts w:ascii="Book Antiqua" w:hAnsi="Book Antiqua" w:cs="Arial"/>
                <w:szCs w:val="24"/>
              </w:rPr>
            </w:pPr>
            <w:r w:rsidRPr="00482B5C">
              <w:rPr>
                <w:rFonts w:ascii="Book Antiqua" w:hAnsi="Book Antiqua" w:cs="Arial"/>
                <w:b/>
                <w:bCs/>
                <w:szCs w:val="24"/>
              </w:rPr>
              <w:lastRenderedPageBreak/>
              <w:t xml:space="preserve">2.4.2 </w:t>
            </w:r>
            <w:r w:rsidRPr="00482B5C">
              <w:rPr>
                <w:rFonts w:ascii="Book Antiqua" w:hAnsi="Book Antiqua" w:cs="Arial"/>
                <w:szCs w:val="24"/>
              </w:rPr>
              <w:t>The Consultant has an obligation to disclose to the Employer any situation of actual or potential conflict that impacts its capacity to serve the best interest of its Employer. Failure to disclose such situations may lead to the disqualification of the Consultant or the termination of its Contract.</w:t>
            </w:r>
          </w:p>
          <w:p w14:paraId="20F7996C" w14:textId="77777777" w:rsidR="00EF1A3A" w:rsidRPr="00482B5C" w:rsidRDefault="00EF1A3A" w:rsidP="00F53148">
            <w:pPr>
              <w:ind w:left="745" w:hanging="745"/>
              <w:jc w:val="both"/>
              <w:rPr>
                <w:rFonts w:ascii="Book Antiqua" w:hAnsi="Book Antiqua" w:cs="Arial"/>
                <w:szCs w:val="24"/>
              </w:rPr>
            </w:pPr>
          </w:p>
          <w:p w14:paraId="55C598AD" w14:textId="77777777" w:rsidR="00EF1A3A" w:rsidRPr="00482B5C" w:rsidRDefault="00EF1A3A" w:rsidP="00F53148">
            <w:pPr>
              <w:ind w:left="745" w:hanging="745"/>
              <w:jc w:val="both"/>
              <w:rPr>
                <w:rFonts w:ascii="Book Antiqua" w:hAnsi="Book Antiqua" w:cs="Arial"/>
                <w:b/>
                <w:bCs/>
                <w:szCs w:val="24"/>
              </w:rPr>
            </w:pPr>
            <w:r w:rsidRPr="00482B5C">
              <w:rPr>
                <w:rFonts w:ascii="Book Antiqua" w:hAnsi="Book Antiqua" w:cs="Arial"/>
                <w:b/>
                <w:bCs/>
                <w:szCs w:val="24"/>
              </w:rPr>
              <w:t>2.4.2.1 Without limitation on the generality of the foregoing, the Consultant shall not be hired under the circumstances set forth below:</w:t>
            </w:r>
          </w:p>
          <w:p w14:paraId="187F19E3" w14:textId="77777777" w:rsidR="00EF1A3A" w:rsidRPr="00482B5C" w:rsidRDefault="00EF1A3A" w:rsidP="00F53148">
            <w:pPr>
              <w:ind w:left="745" w:hanging="745"/>
              <w:jc w:val="both"/>
              <w:rPr>
                <w:rFonts w:ascii="Book Antiqua" w:hAnsi="Book Antiqua" w:cs="Arial"/>
                <w:b/>
                <w:bCs/>
                <w:szCs w:val="24"/>
              </w:rPr>
            </w:pPr>
          </w:p>
          <w:p w14:paraId="5F10E8AA" w14:textId="1E4DD47A" w:rsidR="00EF1A3A" w:rsidRPr="00482B5C" w:rsidRDefault="00EF1A3A" w:rsidP="00F53148">
            <w:pPr>
              <w:ind w:left="1312" w:hanging="1312"/>
              <w:jc w:val="both"/>
              <w:rPr>
                <w:rFonts w:ascii="Book Antiqua" w:hAnsi="Book Antiqua"/>
                <w:szCs w:val="24"/>
              </w:rPr>
            </w:pPr>
            <w:r w:rsidRPr="00482B5C">
              <w:rPr>
                <w:rFonts w:ascii="Book Antiqua" w:hAnsi="Book Antiqua"/>
                <w:b/>
                <w:bCs/>
                <w:szCs w:val="24"/>
              </w:rPr>
              <w:t xml:space="preserve">             (</w:t>
            </w:r>
            <w:proofErr w:type="spellStart"/>
            <w:r w:rsidRPr="00482B5C">
              <w:rPr>
                <w:rFonts w:ascii="Book Antiqua" w:hAnsi="Book Antiqua"/>
                <w:b/>
                <w:bCs/>
                <w:szCs w:val="24"/>
              </w:rPr>
              <w:t>i</w:t>
            </w:r>
            <w:proofErr w:type="spellEnd"/>
            <w:r w:rsidRPr="00482B5C">
              <w:rPr>
                <w:rFonts w:ascii="Book Antiqua" w:hAnsi="Book Antiqua"/>
                <w:b/>
                <w:bCs/>
                <w:szCs w:val="24"/>
              </w:rPr>
              <w:t xml:space="preserve">) </w:t>
            </w:r>
            <w:r w:rsidRPr="00482B5C">
              <w:rPr>
                <w:rFonts w:ascii="Book Antiqua" w:hAnsi="Book Antiqua"/>
                <w:b/>
                <w:bCs/>
                <w:szCs w:val="24"/>
                <w:u w:val="single"/>
              </w:rPr>
              <w:t>Conflict between consulting activities and procurement of goods, works or non-consulting services</w:t>
            </w:r>
            <w:r w:rsidR="00A8165A">
              <w:rPr>
                <w:rFonts w:ascii="Book Antiqua" w:hAnsi="Book Antiqua"/>
                <w:b/>
                <w:bCs/>
                <w:szCs w:val="24"/>
                <w:u w:val="single"/>
              </w:rPr>
              <w:t xml:space="preserve"> </w:t>
            </w:r>
            <w:r w:rsidR="00A8165A" w:rsidRPr="00A8165A">
              <w:rPr>
                <w:rFonts w:ascii="Book Antiqua" w:hAnsi="Book Antiqua"/>
                <w:b/>
                <w:bCs/>
                <w:szCs w:val="24"/>
                <w:u w:val="single"/>
              </w:rPr>
              <w:t>(during project’s  advanced phases including bidding, design or execution)</w:t>
            </w:r>
            <w:r w:rsidRPr="00482B5C">
              <w:rPr>
                <w:rFonts w:ascii="Book Antiqua" w:hAnsi="Book Antiqua"/>
                <w:b/>
                <w:bCs/>
                <w:szCs w:val="24"/>
              </w:rPr>
              <w:t xml:space="preserve">: a firm hired to provide consulting services for the preparation or implementation of a project, or any of its Affiliates, shall be disqualified from subsequently providing goods or works or non-consulting services resulting from or directly related </w:t>
            </w:r>
            <w:r w:rsidRPr="00482B5C">
              <w:rPr>
                <w:rFonts w:ascii="Book Antiqua" w:hAnsi="Book Antiqua"/>
                <w:b/>
                <w:bCs/>
                <w:szCs w:val="24"/>
              </w:rPr>
              <w:lastRenderedPageBreak/>
              <w:t>to the consulting services for such preparation or implementation.</w:t>
            </w:r>
          </w:p>
        </w:tc>
      </w:tr>
    </w:tbl>
    <w:p w14:paraId="528BC2C0" w14:textId="77777777" w:rsidR="00285E3B" w:rsidRDefault="00285E3B"/>
    <w:sectPr w:rsidR="00285E3B" w:rsidSect="00EF1A3A">
      <w:headerReference w:type="default" r:id="rId7"/>
      <w:footerReference w:type="even" r:id="rId8"/>
      <w:footerReference w:type="default" r:id="rId9"/>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43811" w14:textId="77777777" w:rsidR="00735F9E" w:rsidRDefault="00735F9E" w:rsidP="00EF1A3A">
      <w:pPr>
        <w:spacing w:after="0" w:line="240" w:lineRule="auto"/>
      </w:pPr>
      <w:r>
        <w:separator/>
      </w:r>
    </w:p>
  </w:endnote>
  <w:endnote w:type="continuationSeparator" w:id="0">
    <w:p w14:paraId="5DD528A5" w14:textId="77777777" w:rsidR="00735F9E" w:rsidRDefault="00735F9E" w:rsidP="00EF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9294523"/>
      <w:docPartObj>
        <w:docPartGallery w:val="Page Numbers (Bottom of Page)"/>
        <w:docPartUnique/>
      </w:docPartObj>
    </w:sdtPr>
    <w:sdtEndPr>
      <w:rPr>
        <w:rStyle w:val="PageNumber"/>
      </w:rPr>
    </w:sdtEndPr>
    <w:sdtContent>
      <w:p w14:paraId="0D4C2100" w14:textId="168D9D31" w:rsidR="00EF1A3A" w:rsidRDefault="00EF1A3A" w:rsidP="004E1C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FA6D8" w14:textId="77777777" w:rsidR="00EF1A3A" w:rsidRDefault="00EF1A3A" w:rsidP="00EF1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8CE0" w14:textId="77777777" w:rsidR="00187AA5" w:rsidRDefault="00187AA5" w:rsidP="00187AA5">
    <w:pPr>
      <w:pStyle w:val="Footer"/>
      <w:jc w:val="right"/>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3807D2B2" w14:textId="77777777" w:rsidR="00EF1A3A" w:rsidRDefault="00EF1A3A" w:rsidP="00EF1A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C118" w14:textId="77777777" w:rsidR="00735F9E" w:rsidRDefault="00735F9E" w:rsidP="00EF1A3A">
      <w:pPr>
        <w:spacing w:after="0" w:line="240" w:lineRule="auto"/>
      </w:pPr>
      <w:r>
        <w:separator/>
      </w:r>
    </w:p>
  </w:footnote>
  <w:footnote w:type="continuationSeparator" w:id="0">
    <w:p w14:paraId="3531B250" w14:textId="77777777" w:rsidR="00735F9E" w:rsidRDefault="00735F9E" w:rsidP="00EF1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452E" w14:textId="641D131B" w:rsidR="00EF1A3A" w:rsidRDefault="00EF1A3A" w:rsidP="00EF1A3A">
    <w:pPr>
      <w:pStyle w:val="Header"/>
      <w:rPr>
        <w:rFonts w:ascii="Book Antiqua" w:hAnsi="Book Antiqua"/>
        <w:b/>
        <w:bCs/>
      </w:rPr>
    </w:pPr>
    <w:r>
      <w:rPr>
        <w:rFonts w:ascii="Book Antiqua" w:hAnsi="Book Antiqua"/>
        <w:b/>
        <w:bCs/>
      </w:rPr>
      <w:t>Amendment-I</w:t>
    </w:r>
    <w:r w:rsidRPr="00B572CE">
      <w:rPr>
        <w:rFonts w:ascii="Book Antiqua" w:hAnsi="Book Antiqua"/>
        <w:b/>
        <w:bCs/>
      </w:rPr>
      <w:t xml:space="preserve"> dated </w:t>
    </w:r>
    <w:r w:rsidR="006737B5">
      <w:rPr>
        <w:rFonts w:ascii="Book Antiqua" w:hAnsi="Book Antiqua"/>
        <w:b/>
        <w:bCs/>
      </w:rPr>
      <w:t>06</w:t>
    </w:r>
    <w:r w:rsidRPr="00B572CE">
      <w:rPr>
        <w:rFonts w:ascii="Book Antiqua" w:hAnsi="Book Antiqua"/>
        <w:b/>
        <w:bCs/>
      </w:rPr>
      <w:t>.0</w:t>
    </w:r>
    <w:r>
      <w:rPr>
        <w:rFonts w:ascii="Book Antiqua" w:hAnsi="Book Antiqua"/>
        <w:b/>
        <w:bCs/>
      </w:rPr>
      <w:t>5</w:t>
    </w:r>
    <w:r w:rsidRPr="00B572CE">
      <w:rPr>
        <w:rFonts w:ascii="Book Antiqua" w:hAnsi="Book Antiqua"/>
        <w:b/>
        <w:bCs/>
      </w:rPr>
      <w:t xml:space="preserve">.2025 in </w:t>
    </w:r>
    <w:r>
      <w:rPr>
        <w:rFonts w:ascii="Book Antiqua" w:hAnsi="Book Antiqua"/>
        <w:b/>
        <w:bCs/>
      </w:rPr>
      <w:t xml:space="preserve">the bidding document of </w:t>
    </w:r>
    <w:r w:rsidRPr="00B572CE">
      <w:rPr>
        <w:rFonts w:ascii="Book Antiqua" w:hAnsi="Book Antiqua"/>
        <w:b/>
        <w:bCs/>
      </w:rPr>
      <w:t>Appointment of Consultant For feasibility study of India – Saudi Arabia grid interconnection through undersea cable, assess technical and economic aspects. Specification No.: CC/NT/S-CONS/DOM/A37/25/03188</w:t>
    </w:r>
  </w:p>
  <w:p w14:paraId="1D09231E" w14:textId="77777777" w:rsidR="00EF1A3A" w:rsidRDefault="00EF1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07AB3"/>
    <w:multiLevelType w:val="hybridMultilevel"/>
    <w:tmpl w:val="DB1C81EE"/>
    <w:lvl w:ilvl="0" w:tplc="FFFFFFFF">
      <w:start w:val="1"/>
      <w:numFmt w:val="lowerLetter"/>
      <w:lvlText w:val="(%1)"/>
      <w:lvlJc w:val="left"/>
      <w:pPr>
        <w:ind w:left="2130" w:hanging="69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6C1663F7"/>
    <w:multiLevelType w:val="hybridMultilevel"/>
    <w:tmpl w:val="DB1C81EE"/>
    <w:lvl w:ilvl="0" w:tplc="045212A0">
      <w:start w:val="1"/>
      <w:numFmt w:val="lowerLetter"/>
      <w:lvlText w:val="(%1)"/>
      <w:lvlJc w:val="left"/>
      <w:pPr>
        <w:ind w:left="2130" w:hanging="6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06517710">
    <w:abstractNumId w:val="1"/>
  </w:num>
  <w:num w:numId="2" w16cid:durableId="13962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3A"/>
    <w:rsid w:val="000A0711"/>
    <w:rsid w:val="000E4A89"/>
    <w:rsid w:val="00187AA5"/>
    <w:rsid w:val="00285E3B"/>
    <w:rsid w:val="00345BD2"/>
    <w:rsid w:val="00474B2C"/>
    <w:rsid w:val="00662D8B"/>
    <w:rsid w:val="006737B5"/>
    <w:rsid w:val="00735F9E"/>
    <w:rsid w:val="00A8165A"/>
    <w:rsid w:val="00B2795A"/>
    <w:rsid w:val="00B64175"/>
    <w:rsid w:val="00B83BA7"/>
    <w:rsid w:val="00DF7D8C"/>
    <w:rsid w:val="00EF1A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28B1"/>
  <w15:chartTrackingRefBased/>
  <w15:docId w15:val="{989274A4-269C-774D-8C70-84461C6A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3A"/>
    <w:rPr>
      <w:rFonts w:cs="Mangal"/>
      <w:szCs w:val="21"/>
      <w:lang w:bidi="hi-IN"/>
    </w:rPr>
  </w:style>
  <w:style w:type="paragraph" w:styleId="Heading1">
    <w:name w:val="heading 1"/>
    <w:basedOn w:val="Normal"/>
    <w:next w:val="Normal"/>
    <w:link w:val="Heading1Char"/>
    <w:uiPriority w:val="9"/>
    <w:qFormat/>
    <w:rsid w:val="00EF1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A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A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A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A3A"/>
    <w:rPr>
      <w:rFonts w:eastAsiaTheme="majorEastAsia" w:cstheme="majorBidi"/>
      <w:color w:val="272727" w:themeColor="text1" w:themeTint="D8"/>
    </w:rPr>
  </w:style>
  <w:style w:type="paragraph" w:styleId="Title">
    <w:name w:val="Title"/>
    <w:basedOn w:val="Normal"/>
    <w:next w:val="Normal"/>
    <w:link w:val="TitleChar"/>
    <w:uiPriority w:val="10"/>
    <w:qFormat/>
    <w:rsid w:val="00EF1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A3A"/>
    <w:pPr>
      <w:spacing w:before="160"/>
      <w:jc w:val="center"/>
    </w:pPr>
    <w:rPr>
      <w:i/>
      <w:iCs/>
      <w:color w:val="404040" w:themeColor="text1" w:themeTint="BF"/>
    </w:rPr>
  </w:style>
  <w:style w:type="character" w:customStyle="1" w:styleId="QuoteChar">
    <w:name w:val="Quote Char"/>
    <w:basedOn w:val="DefaultParagraphFont"/>
    <w:link w:val="Quote"/>
    <w:uiPriority w:val="29"/>
    <w:rsid w:val="00EF1A3A"/>
    <w:rPr>
      <w:i/>
      <w:iCs/>
      <w:color w:val="404040" w:themeColor="text1" w:themeTint="BF"/>
    </w:rPr>
  </w:style>
  <w:style w:type="paragraph" w:styleId="ListParagraph">
    <w:name w:val="List Paragraph"/>
    <w:aliases w:val="heading 9,Annexure,List Paragraph1,Heading 91,Heading 911,Heading 9111,Heading 91111,Heading 92,WinDForce-Letter,List Paragraph11,List Paragraph2,Heading 911111,Heading 93,Heading 94,Heading 95,Bullet 05,Heading 921,Heading 96,Heading 97"/>
    <w:basedOn w:val="Normal"/>
    <w:link w:val="ListParagraphChar"/>
    <w:qFormat/>
    <w:rsid w:val="00EF1A3A"/>
    <w:pPr>
      <w:ind w:left="720"/>
      <w:contextualSpacing/>
    </w:pPr>
  </w:style>
  <w:style w:type="character" w:styleId="IntenseEmphasis">
    <w:name w:val="Intense Emphasis"/>
    <w:basedOn w:val="DefaultParagraphFont"/>
    <w:uiPriority w:val="21"/>
    <w:qFormat/>
    <w:rsid w:val="00EF1A3A"/>
    <w:rPr>
      <w:i/>
      <w:iCs/>
      <w:color w:val="0F4761" w:themeColor="accent1" w:themeShade="BF"/>
    </w:rPr>
  </w:style>
  <w:style w:type="paragraph" w:styleId="IntenseQuote">
    <w:name w:val="Intense Quote"/>
    <w:basedOn w:val="Normal"/>
    <w:next w:val="Normal"/>
    <w:link w:val="IntenseQuoteChar"/>
    <w:uiPriority w:val="30"/>
    <w:qFormat/>
    <w:rsid w:val="00EF1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A3A"/>
    <w:rPr>
      <w:i/>
      <w:iCs/>
      <w:color w:val="0F4761" w:themeColor="accent1" w:themeShade="BF"/>
    </w:rPr>
  </w:style>
  <w:style w:type="character" w:styleId="IntenseReference">
    <w:name w:val="Intense Reference"/>
    <w:basedOn w:val="DefaultParagraphFont"/>
    <w:uiPriority w:val="32"/>
    <w:qFormat/>
    <w:rsid w:val="00EF1A3A"/>
    <w:rPr>
      <w:b/>
      <w:bCs/>
      <w:smallCaps/>
      <w:color w:val="0F4761" w:themeColor="accent1" w:themeShade="BF"/>
      <w:spacing w:val="5"/>
    </w:rPr>
  </w:style>
  <w:style w:type="paragraph" w:styleId="Header">
    <w:name w:val="header"/>
    <w:basedOn w:val="Normal"/>
    <w:link w:val="HeaderChar"/>
    <w:uiPriority w:val="99"/>
    <w:unhideWhenUsed/>
    <w:rsid w:val="00EF1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A3A"/>
  </w:style>
  <w:style w:type="paragraph" w:styleId="Footer">
    <w:name w:val="footer"/>
    <w:basedOn w:val="Normal"/>
    <w:link w:val="FooterChar"/>
    <w:uiPriority w:val="99"/>
    <w:unhideWhenUsed/>
    <w:rsid w:val="00EF1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A3A"/>
  </w:style>
  <w:style w:type="table" w:styleId="TableGrid">
    <w:name w:val="Table Grid"/>
    <w:basedOn w:val="TableNormal"/>
    <w:uiPriority w:val="39"/>
    <w:rsid w:val="00EF1A3A"/>
    <w:pPr>
      <w:spacing w:after="0" w:line="240" w:lineRule="auto"/>
    </w:pPr>
    <w:rPr>
      <w:szCs w:val="21"/>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qFormat/>
    <w:locked/>
    <w:rsid w:val="00EF1A3A"/>
  </w:style>
  <w:style w:type="character" w:styleId="PageNumber">
    <w:name w:val="page number"/>
    <w:basedOn w:val="DefaultParagraphFont"/>
    <w:uiPriority w:val="99"/>
    <w:semiHidden/>
    <w:unhideWhenUsed/>
    <w:rsid w:val="00EF1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Rahul . {राहुल}</cp:lastModifiedBy>
  <cp:revision>8</cp:revision>
  <cp:lastPrinted>2025-05-01T12:14:00Z</cp:lastPrinted>
  <dcterms:created xsi:type="dcterms:W3CDTF">2025-05-01T09:25:00Z</dcterms:created>
  <dcterms:modified xsi:type="dcterms:W3CDTF">2025-05-06T09:33:00Z</dcterms:modified>
</cp:coreProperties>
</file>