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 xml:space="preserve">Content of </w:t>
            </w:r>
            <w:proofErr w:type="spellStart"/>
            <w:r>
              <w:rPr>
                <w:rFonts w:ascii="Book Antiqua" w:hAnsi="Book Antiqua" w:cs="Times New Roman"/>
                <w:b/>
                <w:bCs/>
              </w:rPr>
              <w:t>RfP</w:t>
            </w:r>
            <w:proofErr w:type="spellEnd"/>
            <w:r>
              <w:rPr>
                <w:rFonts w:ascii="Book Antiqua" w:hAnsi="Book Antiqua" w:cs="Times New Roman"/>
                <w:b/>
                <w:bCs/>
              </w:rPr>
              <w:t xml:space="preserve">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w:t>
            </w:r>
            <w:proofErr w:type="spellStart"/>
            <w:r w:rsidRPr="00FC0343">
              <w:rPr>
                <w:rFonts w:ascii="Book Antiqua" w:hAnsi="Book Antiqua" w:cs="Arial"/>
                <w:sz w:val="22"/>
                <w:szCs w:val="22"/>
              </w:rPr>
              <w:t>RfP</w:t>
            </w:r>
            <w:proofErr w:type="spellEnd"/>
            <w:r w:rsidRPr="00FC0343">
              <w:rPr>
                <w:rFonts w:ascii="Book Antiqua" w:hAnsi="Book Antiqua" w:cs="Arial"/>
                <w:sz w:val="22"/>
                <w:szCs w:val="22"/>
              </w:rPr>
              <w:t xml:space="preserve">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lastRenderedPageBreak/>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lastRenderedPageBreak/>
              <w:t xml:space="preserve">In the RFP as per the payment terms there is a retention of 10% of total contract value </w:t>
            </w:r>
            <w:proofErr w:type="gramStart"/>
            <w:r w:rsidRPr="0085471C">
              <w:rPr>
                <w:rFonts w:ascii="Book Antiqua" w:hAnsi="Book Antiqua"/>
              </w:rPr>
              <w:t>and also</w:t>
            </w:r>
            <w:proofErr w:type="gramEnd"/>
            <w:r w:rsidRPr="0085471C">
              <w:rPr>
                <w:rFonts w:ascii="Book Antiqua" w:hAnsi="Book Antiqua"/>
              </w:rPr>
              <w:t xml:space="preserve">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xml:space="preserve">, Section-III of </w:t>
            </w:r>
            <w:proofErr w:type="spellStart"/>
            <w:r w:rsidR="00F83663">
              <w:rPr>
                <w:rFonts w:ascii="Book Antiqua" w:hAnsi="Book Antiqua"/>
              </w:rPr>
              <w:t>RfP</w:t>
            </w:r>
            <w:proofErr w:type="spellEnd"/>
            <w:r w:rsidR="00F83663">
              <w:rPr>
                <w:rFonts w:ascii="Book Antiqua" w:hAnsi="Book Antiqua"/>
              </w:rPr>
              <w:t xml:space="preserve">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 xml:space="preserve">As there is requirement of large no of field engineers in these projects and time provided to submit the tender is very challenging considering the </w:t>
            </w:r>
            <w:proofErr w:type="spellStart"/>
            <w:r w:rsidRPr="000D09FA">
              <w:rPr>
                <w:rFonts w:ascii="Book Antiqua" w:hAnsi="Book Antiqua"/>
              </w:rPr>
              <w:t>no</w:t>
            </w:r>
            <w:proofErr w:type="spellEnd"/>
            <w:r w:rsidRPr="000D09FA">
              <w:rPr>
                <w:rFonts w:ascii="Book Antiqua" w:hAnsi="Book Antiqua"/>
              </w:rPr>
              <w:t xml:space="preserve"> of tenders and field engineers required in same time. We understand that as per tender conditions there is no restriction in </w:t>
            </w:r>
            <w:r w:rsidRPr="000D09FA">
              <w:rPr>
                <w:rFonts w:ascii="Book Antiqua" w:hAnsi="Book Antiqua"/>
              </w:rPr>
              <w:lastRenderedPageBreak/>
              <w:t>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lastRenderedPageBreak/>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 xml:space="preserve">Using services of a third-party agency for </w:t>
            </w:r>
            <w:r w:rsidRPr="00E667BA">
              <w:rPr>
                <w:rFonts w:ascii="Book Antiqua" w:hAnsi="Book Antiqua"/>
              </w:rPr>
              <w:lastRenderedPageBreak/>
              <w:t xml:space="preserve">deployment of field engineers on site is not allowed as per the </w:t>
            </w:r>
            <w:proofErr w:type="spellStart"/>
            <w:r w:rsidRPr="00E667BA">
              <w:rPr>
                <w:rFonts w:ascii="Book Antiqua" w:hAnsi="Book Antiqua"/>
              </w:rPr>
              <w:t>RfP</w:t>
            </w:r>
            <w:proofErr w:type="spellEnd"/>
            <w:r w:rsidRPr="00E667BA">
              <w:rPr>
                <w:rFonts w:ascii="Book Antiqua" w:hAnsi="Book Antiqua"/>
              </w:rPr>
              <w:t xml:space="preserve">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lastRenderedPageBreak/>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 xml:space="preserve">factual error in these details shall lead to disqualification </w:t>
            </w:r>
            <w:r w:rsidRPr="00BB52AE">
              <w:rPr>
                <w:rFonts w:ascii="Book Antiqua" w:hAnsi="Book Antiqua" w:cs="Arial"/>
                <w:szCs w:val="22"/>
              </w:rPr>
              <w:lastRenderedPageBreak/>
              <w:t>of our bids. Further, the 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 xml:space="preserve">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w:t>
            </w:r>
            <w:r w:rsidRPr="00091A97">
              <w:rPr>
                <w:rFonts w:ascii="Book Antiqua" w:hAnsi="Book Antiqua"/>
                <w:szCs w:val="22"/>
              </w:rPr>
              <w:lastRenderedPageBreak/>
              <w:t>from the participation in 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lastRenderedPageBreak/>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 xml:space="preserve">The above provision is very harsh for </w:t>
            </w:r>
            <w:proofErr w:type="gramStart"/>
            <w:r w:rsidRPr="0085471C">
              <w:rPr>
                <w:rFonts w:ascii="Book Antiqua" w:hAnsi="Book Antiqua"/>
              </w:rPr>
              <w:t>bidders</w:t>
            </w:r>
            <w:proofErr w:type="gramEnd"/>
            <w:r w:rsidRPr="0085471C">
              <w:rPr>
                <w:rFonts w:ascii="Book Antiqua" w:hAnsi="Book Antiqua"/>
              </w:rPr>
              <w:t xml:space="preserve">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t xml:space="preserve">Since, the bidder has no control or means to check the authenticity of information and documents provided by the field engineers in such a short </w:t>
            </w:r>
            <w:proofErr w:type="gramStart"/>
            <w:r w:rsidRPr="0085471C">
              <w:rPr>
                <w:rFonts w:ascii="Book Antiqua" w:hAnsi="Book Antiqua"/>
              </w:rPr>
              <w:t>time period</w:t>
            </w:r>
            <w:proofErr w:type="gramEnd"/>
            <w:r w:rsidRPr="0085471C">
              <w:rPr>
                <w:rFonts w:ascii="Book Antiqua" w:hAnsi="Book Antiqua"/>
              </w:rPr>
              <w:t xml:space="preserve"> the newly added provisions are not justifiable from the bidders’ perspective. Therefore, we request to kindly delete </w:t>
            </w:r>
            <w:proofErr w:type="gramStart"/>
            <w:r w:rsidRPr="0085471C">
              <w:rPr>
                <w:rFonts w:ascii="Book Antiqua" w:hAnsi="Book Antiqua"/>
              </w:rPr>
              <w:t>these newly added provision</w:t>
            </w:r>
            <w:proofErr w:type="gramEnd"/>
            <w:r w:rsidRPr="0085471C">
              <w:rPr>
                <w:rFonts w:ascii="Book Antiqua" w:hAnsi="Book Antiqua"/>
              </w:rPr>
              <w:t>.</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lastRenderedPageBreak/>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w:t>
            </w:r>
            <w:proofErr w:type="spellStart"/>
            <w:r w:rsidR="0085471C" w:rsidRPr="0085471C">
              <w:rPr>
                <w:rFonts w:ascii="Book Antiqua" w:hAnsi="Book Antiqua"/>
              </w:rPr>
              <w:t>RfP</w:t>
            </w:r>
            <w:proofErr w:type="spellEnd"/>
            <w:r w:rsidR="0085471C" w:rsidRPr="0085471C">
              <w:rPr>
                <w:rFonts w:ascii="Book Antiqua" w:hAnsi="Book Antiqua"/>
              </w:rPr>
              <w:t>), issued by the Employer, is open to all firms including company(</w:t>
            </w:r>
            <w:proofErr w:type="spellStart"/>
            <w:r w:rsidR="0085471C" w:rsidRPr="0085471C">
              <w:rPr>
                <w:rFonts w:ascii="Book Antiqua" w:hAnsi="Book Antiqua"/>
              </w:rPr>
              <w:t>ies</w:t>
            </w:r>
            <w:proofErr w:type="spellEnd"/>
            <w:r w:rsidR="0085471C" w:rsidRPr="0085471C">
              <w:rPr>
                <w:rFonts w:ascii="Book Antiqua" w:hAnsi="Book Antiqua"/>
              </w:rPr>
              <w:t>),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2.2 This Request for Proposal (</w:t>
            </w:r>
            <w:proofErr w:type="spellStart"/>
            <w:r w:rsidRPr="0085471C">
              <w:rPr>
                <w:rFonts w:ascii="Book Antiqua" w:hAnsi="Book Antiqua"/>
              </w:rPr>
              <w:t>RfP</w:t>
            </w:r>
            <w:proofErr w:type="spellEnd"/>
            <w:r w:rsidRPr="0085471C">
              <w:rPr>
                <w:rFonts w:ascii="Book Antiqua" w:hAnsi="Book Antiqua"/>
              </w:rPr>
              <w:t xml:space="preserve">), issued by the Employer, </w:t>
            </w:r>
            <w:r w:rsidRPr="007A2378">
              <w:rPr>
                <w:rFonts w:ascii="Book Antiqua" w:hAnsi="Book Antiqua"/>
                <w:b/>
                <w:bCs/>
              </w:rPr>
              <w:t>is open to all firms including company(</w:t>
            </w:r>
            <w:proofErr w:type="spellStart"/>
            <w:r w:rsidRPr="007A2378">
              <w:rPr>
                <w:rFonts w:ascii="Book Antiqua" w:hAnsi="Book Antiqua"/>
                <w:b/>
                <w:bCs/>
              </w:rPr>
              <w:t>ies</w:t>
            </w:r>
            <w:proofErr w:type="spellEnd"/>
            <w:r w:rsidRPr="007A2378">
              <w:rPr>
                <w:rFonts w:ascii="Book Antiqua" w:hAnsi="Book Antiqua"/>
                <w:b/>
                <w:bCs/>
              </w:rPr>
              <w:t>),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w:t>
            </w:r>
            <w:proofErr w:type="spellStart"/>
            <w:r w:rsidRPr="00812860">
              <w:rPr>
                <w:rFonts w:ascii="Book Antiqua" w:hAnsi="Book Antiqua"/>
              </w:rPr>
              <w:t>i</w:t>
            </w:r>
            <w:proofErr w:type="spellEnd"/>
            <w:r w:rsidRPr="00812860">
              <w:rPr>
                <w:rFonts w:ascii="Book Antiqua" w:hAnsi="Book Antiqua"/>
              </w:rPr>
              <w:t>)</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lastRenderedPageBreak/>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lastRenderedPageBreak/>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lastRenderedPageBreak/>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lastRenderedPageBreak/>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proofErr w:type="spellStart"/>
            <w:r w:rsidR="009334A4">
              <w:rPr>
                <w:rFonts w:ascii="Book Antiqua" w:hAnsi="Book Antiqua"/>
              </w:rPr>
              <w:t>RfP</w:t>
            </w:r>
            <w:proofErr w:type="spellEnd"/>
            <w:r w:rsidR="009334A4">
              <w:rPr>
                <w:rFonts w:ascii="Book Antiqua" w:hAnsi="Book Antiqua"/>
              </w:rPr>
              <w:t xml:space="preserve">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lastRenderedPageBreak/>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 xml:space="preserve">Conditions Of Contract; Section – III, Clause 50.0 Termination </w:t>
            </w:r>
            <w:proofErr w:type="gramStart"/>
            <w:r w:rsidRPr="0085471C">
              <w:rPr>
                <w:rFonts w:ascii="Book Antiqua" w:hAnsi="Book Antiqua"/>
              </w:rPr>
              <w:t>For</w:t>
            </w:r>
            <w:proofErr w:type="gramEnd"/>
            <w:r w:rsidRPr="0085471C">
              <w:rPr>
                <w:rFonts w:ascii="Book Antiqua" w:hAnsi="Book Antiqua"/>
              </w:rPr>
              <w:t xml:space="preserve">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50.1 The Employer may without prejudice to any other remedy for breach of contract, by written notice of default sent to 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 xml:space="preserve">a) if the Independent Engineer fails to deliver any or </w:t>
            </w:r>
            <w:proofErr w:type="gramStart"/>
            <w:r w:rsidRPr="0085471C">
              <w:rPr>
                <w:rFonts w:ascii="Book Antiqua" w:hAnsi="Book Antiqua"/>
              </w:rPr>
              <w:t>all of</w:t>
            </w:r>
            <w:proofErr w:type="gramEnd"/>
            <w:r w:rsidRPr="0085471C">
              <w:rPr>
                <w:rFonts w:ascii="Book Antiqua" w:hAnsi="Book Antiqua"/>
              </w:rPr>
              <w:t xml:space="preserve">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w:t>
            </w:r>
            <w:r w:rsidRPr="007A2378">
              <w:rPr>
                <w:rFonts w:ascii="Book Antiqua" w:hAnsi="Book Antiqua"/>
                <w:b/>
                <w:bCs/>
              </w:rPr>
              <w:t xml:space="preserve">by written notice of default of 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lastRenderedPageBreak/>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 xml:space="preserve">Conditions Of Contract; Section – III, Clause 51.0 Termination </w:t>
            </w:r>
            <w:proofErr w:type="gramStart"/>
            <w:r w:rsidRPr="0085471C">
              <w:rPr>
                <w:rFonts w:ascii="Book Antiqua" w:hAnsi="Book Antiqua"/>
              </w:rPr>
              <w:t>For</w:t>
            </w:r>
            <w:proofErr w:type="gramEnd"/>
            <w:r w:rsidRPr="0085471C">
              <w:rPr>
                <w:rFonts w:ascii="Book Antiqua" w:hAnsi="Book Antiqua"/>
              </w:rPr>
              <w:t xml:space="preserve">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51.1 The Employer may at any time terminate the contract by giving written notice to the Independent Engineer, without compensation to the Independent Engineer, if the 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of </w:t>
            </w:r>
            <w:r w:rsidRPr="007A2378">
              <w:rPr>
                <w:rFonts w:ascii="Book Antiqua" w:hAnsi="Book Antiqua"/>
                <w:b/>
                <w:bCs/>
              </w:rPr>
              <w:t xml:space="preserve">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lastRenderedPageBreak/>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6B0056">
              <w:rPr>
                <w:rFonts w:ascii="Book Antiqua" w:hAnsi="Book Antiqua"/>
              </w:rPr>
              <w:t>site</w:t>
            </w:r>
            <w:proofErr w:type="gramEnd"/>
            <w:r w:rsidRPr="006B0056">
              <w:rPr>
                <w:rFonts w:ascii="Book Antiqua" w:hAnsi="Book Antiqua"/>
              </w:rPr>
              <w:t xml:space="preserve"> or any property thereon resulting from such access and will indemnify the Consultant and each of the experts in respect of liability for any such damage, unless such damage is caused by the </w:t>
            </w:r>
            <w:proofErr w:type="spellStart"/>
            <w:r w:rsidRPr="006B0056">
              <w:rPr>
                <w:rFonts w:ascii="Book Antiqua" w:hAnsi="Book Antiqua"/>
              </w:rPr>
              <w:t>willful</w:t>
            </w:r>
            <w:proofErr w:type="spellEnd"/>
            <w:r w:rsidRPr="006B0056">
              <w:rPr>
                <w:rFonts w:ascii="Book Antiqua" w:hAnsi="Book Antiqua"/>
              </w:rPr>
              <w:t xml:space="preserve">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t>
            </w:r>
            <w:r w:rsidRPr="0085471C">
              <w:rPr>
                <w:rFonts w:ascii="Book Antiqua" w:hAnsi="Book Antiqua"/>
              </w:rPr>
              <w:lastRenderedPageBreak/>
              <w:t>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lastRenderedPageBreak/>
              <w:t xml:space="preserve">Provisions of </w:t>
            </w:r>
            <w:proofErr w:type="spellStart"/>
            <w:r w:rsidR="005144E6">
              <w:rPr>
                <w:rFonts w:ascii="Book Antiqua" w:hAnsi="Book Antiqua"/>
              </w:rPr>
              <w:t>R</w:t>
            </w:r>
            <w:r>
              <w:rPr>
                <w:rFonts w:ascii="Book Antiqua" w:hAnsi="Book Antiqua"/>
              </w:rPr>
              <w:t>fP</w:t>
            </w:r>
            <w:proofErr w:type="spellEnd"/>
            <w:r>
              <w:rPr>
                <w:rFonts w:ascii="Book Antiqua" w:hAnsi="Book Antiqua"/>
              </w:rPr>
              <w:t xml:space="preserve">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 xml:space="preserve">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w:t>
            </w:r>
            <w:r w:rsidRPr="0085471C">
              <w:rPr>
                <w:rFonts w:ascii="Book Antiqua" w:hAnsi="Book Antiqua"/>
              </w:rPr>
              <w:lastRenderedPageBreak/>
              <w:t>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3317794C"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w:t>
    </w:r>
    <w:proofErr w:type="spellStart"/>
    <w:r w:rsidRPr="00010837">
      <w:rPr>
        <w:rFonts w:ascii="Book Antiqua" w:hAnsi="Book Antiqua"/>
        <w:b/>
        <w:bCs/>
      </w:rPr>
      <w:t>RfP</w:t>
    </w:r>
    <w:proofErr w:type="spellEnd"/>
    <w:r w:rsidRPr="00010837">
      <w:rPr>
        <w:rFonts w:ascii="Book Antiqua" w:hAnsi="Book Antiqua"/>
        <w:b/>
        <w:bCs/>
      </w:rPr>
      <w:t xml:space="preserve"> document </w:t>
    </w:r>
    <w:r w:rsidR="00BC1403" w:rsidRPr="00010837">
      <w:rPr>
        <w:rFonts w:ascii="Book Antiqua" w:hAnsi="Book Antiqua"/>
        <w:b/>
        <w:bCs/>
      </w:rPr>
      <w:t xml:space="preserve">of </w:t>
    </w:r>
    <w:r w:rsidR="00172788" w:rsidRPr="00172788">
      <w:rPr>
        <w:rFonts w:ascii="Book Antiqua" w:hAnsi="Book Antiqua"/>
        <w:b/>
        <w:bCs/>
      </w:rPr>
      <w:t>Appointment of Independent Engineer for “Network Expansion scheme in Gujarat for drawl of about 3.6 GW load under Phase-I in Jamnagar area”</w:t>
    </w:r>
    <w:r w:rsidR="00BC1403" w:rsidRPr="00010837">
      <w:rPr>
        <w:rFonts w:ascii="Book Antiqua" w:hAnsi="Book Antiqua"/>
        <w:b/>
        <w:bCs/>
      </w:rPr>
      <w:t xml:space="preserve">. </w:t>
    </w:r>
    <w:r w:rsidR="00010837" w:rsidRPr="00010837">
      <w:rPr>
        <w:rFonts w:ascii="Book Antiqua" w:hAnsi="Book Antiqua"/>
        <w:b/>
        <w:bCs/>
      </w:rPr>
      <w:t>Spec. No. CTUIL/IE/2024-25/5</w:t>
    </w:r>
    <w:r w:rsidR="00172788">
      <w:rPr>
        <w:rFonts w:ascii="Book Antiqua" w:hAnsi="Book Antiqua"/>
        <w:b/>
        <w:bCs/>
      </w:rPr>
      <w:t>5</w:t>
    </w:r>
    <w:r w:rsidR="000B6D03">
      <w:rPr>
        <w:rFonts w:ascii="Book Antiqua" w:hAnsi="Book Antiqua"/>
        <w:b/>
        <w:bCs/>
      </w:rPr>
      <w:t xml:space="preserve">. GeM Bid: </w:t>
    </w:r>
    <w:r w:rsidR="004824FE" w:rsidRPr="004824FE">
      <w:rPr>
        <w:rFonts w:ascii="Book Antiqua" w:hAnsi="Book Antiqua"/>
        <w:b/>
        <w:bCs/>
      </w:rPr>
      <w:t>GEM/2024/B/5579372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9304E"/>
    <w:rsid w:val="000B6D03"/>
    <w:rsid w:val="000D09FA"/>
    <w:rsid w:val="000E0DE0"/>
    <w:rsid w:val="001102DE"/>
    <w:rsid w:val="00127CC5"/>
    <w:rsid w:val="001456F1"/>
    <w:rsid w:val="00172788"/>
    <w:rsid w:val="00201F60"/>
    <w:rsid w:val="0033033A"/>
    <w:rsid w:val="00353643"/>
    <w:rsid w:val="003A62C7"/>
    <w:rsid w:val="0041702A"/>
    <w:rsid w:val="004824FE"/>
    <w:rsid w:val="00492868"/>
    <w:rsid w:val="004A348B"/>
    <w:rsid w:val="004B1659"/>
    <w:rsid w:val="0051131A"/>
    <w:rsid w:val="005144E6"/>
    <w:rsid w:val="005921CF"/>
    <w:rsid w:val="005950E4"/>
    <w:rsid w:val="005F6434"/>
    <w:rsid w:val="00625205"/>
    <w:rsid w:val="0069135D"/>
    <w:rsid w:val="006B0056"/>
    <w:rsid w:val="006B3769"/>
    <w:rsid w:val="00774D83"/>
    <w:rsid w:val="007A2378"/>
    <w:rsid w:val="00812860"/>
    <w:rsid w:val="0085471C"/>
    <w:rsid w:val="00875F72"/>
    <w:rsid w:val="00896808"/>
    <w:rsid w:val="008B427B"/>
    <w:rsid w:val="008B4EFE"/>
    <w:rsid w:val="008C67B1"/>
    <w:rsid w:val="008D279D"/>
    <w:rsid w:val="00900E47"/>
    <w:rsid w:val="009334A4"/>
    <w:rsid w:val="00A15526"/>
    <w:rsid w:val="00AB4FCA"/>
    <w:rsid w:val="00B043DB"/>
    <w:rsid w:val="00B36D4D"/>
    <w:rsid w:val="00B405E5"/>
    <w:rsid w:val="00B91857"/>
    <w:rsid w:val="00BB52AE"/>
    <w:rsid w:val="00BC1403"/>
    <w:rsid w:val="00C152A6"/>
    <w:rsid w:val="00C738AC"/>
    <w:rsid w:val="00C76CB5"/>
    <w:rsid w:val="00CA5EA6"/>
    <w:rsid w:val="00CD1702"/>
    <w:rsid w:val="00D63F19"/>
    <w:rsid w:val="00DB45E5"/>
    <w:rsid w:val="00E51498"/>
    <w:rsid w:val="00E667BA"/>
    <w:rsid w:val="00E95B7B"/>
    <w:rsid w:val="00EB1CA9"/>
    <w:rsid w:val="00F16971"/>
    <w:rsid w:val="00F505EE"/>
    <w:rsid w:val="00F610E2"/>
    <w:rsid w:val="00F83663"/>
    <w:rsid w:val="00FD5BAA"/>
    <w:rsid w:val="00FF6E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C12E5"/>
  <w15:chartTrackingRefBased/>
  <w15:docId w15:val="{97D16580-579B-4D84-972D-08E2C7C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58</cp:revision>
  <cp:lastPrinted>2024-11-20T09:52:00Z</cp:lastPrinted>
  <dcterms:created xsi:type="dcterms:W3CDTF">2024-11-05T09:51:00Z</dcterms:created>
  <dcterms:modified xsi:type="dcterms:W3CDTF">2024-11-20T09:52:00Z</dcterms:modified>
</cp:coreProperties>
</file>