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29759F99"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4E178A" w:rsidRPr="004E178A">
        <w:rPr>
          <w:rFonts w:ascii="Book Antiqua" w:hAnsi="Book Antiqua" w:cs="Arial"/>
          <w:b/>
          <w:bCs/>
          <w:color w:val="365F91" w:themeColor="accent1" w:themeShade="BF"/>
          <w:sz w:val="22"/>
          <w:szCs w:val="22"/>
        </w:rPr>
        <w:t>Transmission Scheme for Integration of Tumkur-II REZ in Karnataka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62EF46D9"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w:t>
      </w:r>
      <w:r w:rsidR="004E178A">
        <w:rPr>
          <w:rFonts w:ascii="Book Antiqua" w:hAnsi="Book Antiqua" w:cs="Arial"/>
          <w:b/>
          <w:bCs/>
          <w:color w:val="365F91" w:themeColor="accent1" w:themeShade="BF"/>
          <w:sz w:val="22"/>
          <w:szCs w:val="22"/>
        </w:rPr>
        <w:t>50</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w:t>
            </w:r>
            <w:proofErr w:type="gramStart"/>
            <w:r w:rsidRPr="00FC0343">
              <w:rPr>
                <w:rFonts w:ascii="Book Antiqua" w:hAnsi="Book Antiqua" w:cs="Arial"/>
                <w:sz w:val="22"/>
                <w:szCs w:val="22"/>
              </w:rPr>
              <w:t>original</w:t>
            </w:r>
            <w:proofErr w:type="gramEnd"/>
            <w:r w:rsidRPr="00FC0343">
              <w:rPr>
                <w:rFonts w:ascii="Book Antiqua" w:hAnsi="Book Antiqua" w:cs="Arial"/>
                <w:sz w:val="22"/>
                <w:szCs w:val="22"/>
              </w:rPr>
              <w:t>,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(ii</w:t>
      </w:r>
      <w:proofErr w:type="gramStart"/>
      <w:r w:rsidR="00604079" w:rsidRPr="00FC0343">
        <w:rPr>
          <w:rFonts w:ascii="Book Antiqua" w:hAnsi="Book Antiqua" w:cs="Arial"/>
          <w:spacing w:val="-2"/>
          <w:sz w:val="22"/>
          <w:szCs w:val="22"/>
        </w:rPr>
        <w:t xml:space="preserve">) </w:t>
      </w:r>
      <w:r w:rsidR="00604079" w:rsidRPr="00FC0343">
        <w:rPr>
          <w:rFonts w:ascii="Book Antiqua" w:hAnsi="Book Antiqua" w:cs="Arial"/>
          <w:spacing w:val="-2"/>
          <w:sz w:val="22"/>
          <w:szCs w:val="22"/>
        </w:rPr>
        <w:tab/>
        <w:t>to</w:t>
      </w:r>
      <w:proofErr w:type="gramEnd"/>
      <w:r w:rsidR="00604079" w:rsidRPr="00FC0343">
        <w:rPr>
          <w:rFonts w:ascii="Book Antiqua" w:hAnsi="Book Antiqua" w:cs="Arial"/>
          <w:spacing w:val="-2"/>
          <w:sz w:val="22"/>
          <w:szCs w:val="22"/>
        </w:rPr>
        <w:t xml:space="preserve">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33A8E605"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0B334F">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0B334F">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0B334F">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 xml:space="preserve">documentary evidence with regard to registration with designated Authority of </w:t>
      </w:r>
      <w:proofErr w:type="spellStart"/>
      <w:r w:rsidR="004D6EE2" w:rsidRPr="003530D8">
        <w:rPr>
          <w:rStyle w:val="Strong"/>
          <w:rFonts w:ascii="Book Antiqua" w:hAnsi="Book Antiqua" w:cs="Arial"/>
          <w:b w:val="0"/>
          <w:bCs w:val="0"/>
        </w:rPr>
        <w:t>GoI</w:t>
      </w:r>
      <w:proofErr w:type="spellEnd"/>
      <w:r w:rsidR="004D6EE2" w:rsidRPr="003530D8">
        <w:rPr>
          <w:rStyle w:val="Strong"/>
          <w:rFonts w:ascii="Book Antiqua" w:hAnsi="Book Antiqua" w:cs="Arial"/>
          <w:b w:val="0"/>
          <w:bCs w:val="0"/>
        </w:rPr>
        <w:t xml:space="preserve">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 xml:space="preserve">required to be submitted by the Consultant as per the provisions of the </w:t>
      </w:r>
      <w:proofErr w:type="spellStart"/>
      <w:r w:rsidRPr="003530D8">
        <w:rPr>
          <w:rFonts w:ascii="Book Antiqua" w:hAnsi="Book Antiqua" w:cs="Arial"/>
          <w:sz w:val="22"/>
          <w:szCs w:val="22"/>
        </w:rPr>
        <w:t>R</w:t>
      </w:r>
      <w:r w:rsidR="000B6D04" w:rsidRPr="003530D8">
        <w:rPr>
          <w:rFonts w:ascii="Book Antiqua" w:hAnsi="Book Antiqua" w:cs="Arial"/>
          <w:sz w:val="22"/>
          <w:szCs w:val="22"/>
        </w:rPr>
        <w:t>f</w:t>
      </w:r>
      <w:r w:rsidRPr="003530D8">
        <w:rPr>
          <w:rFonts w:ascii="Book Antiqua" w:hAnsi="Book Antiqua" w:cs="Arial"/>
          <w:sz w:val="22"/>
          <w:szCs w:val="22"/>
        </w:rPr>
        <w:t>P</w:t>
      </w:r>
      <w:proofErr w:type="spellEnd"/>
      <w:r w:rsidRPr="003530D8">
        <w:rPr>
          <w:rFonts w:ascii="Book Antiqua" w:hAnsi="Book Antiqua" w:cs="Arial"/>
          <w:sz w:val="22"/>
          <w:szCs w:val="22"/>
        </w:rPr>
        <w:t xml:space="preserve">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w:t>
      </w:r>
      <w:proofErr w:type="gramStart"/>
      <w:r w:rsidRPr="003530D8">
        <w:rPr>
          <w:rFonts w:ascii="Book Antiqua" w:hAnsi="Book Antiqua" w:cs="Arial"/>
          <w:sz w:val="22"/>
          <w:szCs w:val="22"/>
        </w:rPr>
        <w:t>sole</w:t>
      </w:r>
      <w:proofErr w:type="gramEnd"/>
      <w:r w:rsidRPr="003530D8">
        <w:rPr>
          <w:rFonts w:ascii="Book Antiqua" w:hAnsi="Book Antiqua" w:cs="Arial"/>
          <w:sz w:val="22"/>
          <w:szCs w:val="22"/>
        </w:rPr>
        <w:t xml:space="preserv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w:t>
      </w:r>
      <w:proofErr w:type="gramStart"/>
      <w:r w:rsidR="0023571F" w:rsidRPr="00CE3820">
        <w:rPr>
          <w:rFonts w:ascii="Book Antiqua" w:hAnsi="Book Antiqua" w:cs="Arial"/>
          <w:sz w:val="22"/>
          <w:szCs w:val="22"/>
        </w:rPr>
        <w:t>Bank</w:t>
      </w:r>
      <w:proofErr w:type="gramEnd"/>
      <w:r w:rsidR="0023571F" w:rsidRPr="00CE3820">
        <w:rPr>
          <w:rFonts w:ascii="Book Antiqua" w:hAnsi="Book Antiqua" w:cs="Arial"/>
          <w:sz w:val="22"/>
          <w:szCs w:val="22"/>
        </w:rPr>
        <w:t xml:space="preserve">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proofErr w:type="gramStart"/>
      <w:r w:rsidR="00CE3820" w:rsidRPr="00994B1B">
        <w:rPr>
          <w:rFonts w:ascii="Book Antiqua" w:hAnsi="Book Antiqua" w:cs="Arial"/>
          <w:sz w:val="22"/>
          <w:szCs w:val="22"/>
        </w:rPr>
        <w:t>hereinafter</w:t>
      </w:r>
      <w:proofErr w:type="gramEnd"/>
      <w:r w:rsidR="00CE3820" w:rsidRPr="00994B1B">
        <w:rPr>
          <w:rFonts w:ascii="Book Antiqua" w:hAnsi="Book Antiqua" w:cs="Arial"/>
          <w:sz w:val="22"/>
          <w:szCs w:val="22"/>
        </w:rPr>
        <w:t xml:space="preserve">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(b) acts intended to materially impede the exercise of </w:t>
      </w:r>
      <w:proofErr w:type="gramStart"/>
      <w:r w:rsidRPr="00992E97">
        <w:rPr>
          <w:rFonts w:ascii="Book Antiqua" w:hAnsi="Book Antiqua" w:cs="Arial"/>
          <w:sz w:val="22"/>
          <w:szCs w:val="22"/>
        </w:rPr>
        <w:t>the contractual</w:t>
      </w:r>
      <w:proofErr w:type="gramEnd"/>
      <w:r w:rsidRPr="00992E97">
        <w:rPr>
          <w:rFonts w:ascii="Book Antiqua" w:hAnsi="Book Antiqua" w:cs="Arial"/>
          <w:sz w:val="22"/>
          <w:szCs w:val="22"/>
        </w:rPr>
        <w:t xml:space="preserve">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w:t>
      </w:r>
      <w:proofErr w:type="gramStart"/>
      <w:r w:rsidRPr="00992E97">
        <w:rPr>
          <w:rFonts w:ascii="Book Antiqua" w:hAnsi="Book Antiqua" w:cs="Arial"/>
          <w:sz w:val="22"/>
          <w:szCs w:val="22"/>
        </w:rPr>
        <w:t>persuasions</w:t>
      </w:r>
      <w:proofErr w:type="gramEnd"/>
      <w:r w:rsidRPr="00992E97">
        <w:rPr>
          <w:rFonts w:ascii="Book Antiqua" w:hAnsi="Book Antiqua" w:cs="Arial"/>
          <w:sz w:val="22"/>
          <w:szCs w:val="22"/>
        </w:rPr>
        <w:t xml:space="preserve">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xml:space="preserv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 xml:space="preserve">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 xml:space="preserve">which will be confirmed by </w:t>
      </w:r>
      <w:proofErr w:type="gramStart"/>
      <w:r w:rsidRPr="007C0FE9">
        <w:rPr>
          <w:rFonts w:ascii="Book Antiqua" w:hAnsi="Book Antiqua" w:cs="Arial"/>
          <w:sz w:val="22"/>
          <w:szCs w:val="22"/>
        </w:rPr>
        <w:t>CTUIL</w:t>
      </w:r>
      <w:proofErr w:type="gramEnd"/>
      <w:r w:rsidRPr="007C0FE9">
        <w:rPr>
          <w:rFonts w:ascii="Book Antiqua" w:hAnsi="Book Antiqua" w:cs="Arial"/>
          <w:sz w:val="22"/>
          <w:szCs w:val="22"/>
        </w:rPr>
        <w:t xml:space="preserve">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sittings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 xml:space="preserve">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w:t>
      </w:r>
      <w:proofErr w:type="gramStart"/>
      <w:r w:rsidR="00D221C9" w:rsidRPr="00713EDB">
        <w:rPr>
          <w:rFonts w:ascii="Book Antiqua" w:hAnsi="Book Antiqua" w:cs="Arial"/>
          <w:sz w:val="22"/>
          <w:szCs w:val="22"/>
        </w:rPr>
        <w:t>have</w:t>
      </w:r>
      <w:proofErr w:type="gramEnd"/>
      <w:r w:rsidR="00D221C9" w:rsidRPr="00713EDB">
        <w:rPr>
          <w:rFonts w:ascii="Book Antiqua" w:hAnsi="Book Antiqua" w:cs="Arial"/>
          <w:sz w:val="22"/>
          <w:szCs w:val="22"/>
        </w:rPr>
        <w:t xml:space="preser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3E7A6" w14:textId="77777777" w:rsidR="00A443F6" w:rsidRDefault="00A443F6" w:rsidP="003E7F85">
      <w:r>
        <w:separator/>
      </w:r>
    </w:p>
  </w:endnote>
  <w:endnote w:type="continuationSeparator" w:id="0">
    <w:p w14:paraId="55B3AC6E" w14:textId="77777777" w:rsidR="00A443F6" w:rsidRDefault="00A443F6" w:rsidP="003E7F85">
      <w:r>
        <w:continuationSeparator/>
      </w:r>
    </w:p>
  </w:endnote>
  <w:endnote w:type="continuationNotice" w:id="1">
    <w:p w14:paraId="16E66FF6" w14:textId="77777777" w:rsidR="00A443F6" w:rsidRDefault="00A4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FF5B4" w14:textId="77777777" w:rsidR="00A443F6" w:rsidRDefault="00A443F6" w:rsidP="003E7F85">
      <w:r>
        <w:separator/>
      </w:r>
    </w:p>
  </w:footnote>
  <w:footnote w:type="continuationSeparator" w:id="0">
    <w:p w14:paraId="564E71E8" w14:textId="77777777" w:rsidR="00A443F6" w:rsidRDefault="00A443F6" w:rsidP="003E7F85">
      <w:r>
        <w:continuationSeparator/>
      </w:r>
    </w:p>
  </w:footnote>
  <w:footnote w:type="continuationNotice" w:id="1">
    <w:p w14:paraId="0D11452E" w14:textId="77777777" w:rsidR="00A443F6" w:rsidRDefault="00A443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78A"/>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3F6"/>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7D4"/>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C5A6A"/>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5973</TotalTime>
  <Pages>43</Pages>
  <Words>15718</Words>
  <Characters>89594</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297</cp:revision>
  <cp:lastPrinted>2022-12-28T11:59:00Z</cp:lastPrinted>
  <dcterms:created xsi:type="dcterms:W3CDTF">2022-07-11T07:01:00Z</dcterms:created>
  <dcterms:modified xsi:type="dcterms:W3CDTF">2024-10-10T10:58:00Z</dcterms:modified>
  <cp:contentStatus/>
</cp:coreProperties>
</file>