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2D5DABEC"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6C6D53" w:rsidRPr="006C6D53">
        <w:rPr>
          <w:rFonts w:ascii="Book Antiqua" w:hAnsi="Book Antiqua" w:cs="Arial"/>
          <w:b/>
          <w:bCs/>
          <w:color w:val="365F91" w:themeColor="accent1" w:themeShade="BF"/>
          <w:sz w:val="22"/>
          <w:szCs w:val="22"/>
        </w:rPr>
        <w:t>Transmission System for evacuation of power from Rajasthan REZ Ph-IV (Part-2:5.5 GW) (Jaisalmer/ Barmer Complex): Part E</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0400ACCE"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w:t>
      </w:r>
      <w:r w:rsidR="00AD1D6D">
        <w:rPr>
          <w:rFonts w:ascii="Book Antiqua" w:hAnsi="Book Antiqua" w:cs="Arial"/>
          <w:b/>
          <w:bCs/>
          <w:color w:val="365F91" w:themeColor="accent1" w:themeShade="BF"/>
          <w:sz w:val="22"/>
          <w:szCs w:val="22"/>
        </w:rPr>
        <w:t>4</w:t>
      </w:r>
      <w:r w:rsidR="006C6D53">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25ABC045"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47E6A" w:rsidRPr="00F47E6A">
        <w:rPr>
          <w:rFonts w:ascii="Book Antiqua" w:hAnsi="Book Antiqua"/>
          <w:b/>
          <w:bCs/>
          <w:lang w:val="en-GB"/>
        </w:rPr>
        <w:t xml:space="preserve">Rahul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F47E6A">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F47E6A">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period of time,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80196" w14:textId="77777777" w:rsidR="00316CAC" w:rsidRDefault="00316CAC" w:rsidP="003E7F85">
      <w:r>
        <w:separator/>
      </w:r>
    </w:p>
  </w:endnote>
  <w:endnote w:type="continuationSeparator" w:id="0">
    <w:p w14:paraId="36375E06" w14:textId="77777777" w:rsidR="00316CAC" w:rsidRDefault="00316CAC" w:rsidP="003E7F85">
      <w:r>
        <w:continuationSeparator/>
      </w:r>
    </w:p>
  </w:endnote>
  <w:endnote w:type="continuationNotice" w:id="1">
    <w:p w14:paraId="0E96120B" w14:textId="77777777" w:rsidR="00316CAC" w:rsidRDefault="00316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A03A9" w14:textId="77777777" w:rsidR="00316CAC" w:rsidRDefault="00316CAC" w:rsidP="003E7F85">
      <w:r>
        <w:separator/>
      </w:r>
    </w:p>
  </w:footnote>
  <w:footnote w:type="continuationSeparator" w:id="0">
    <w:p w14:paraId="26916EC7" w14:textId="77777777" w:rsidR="00316CAC" w:rsidRDefault="00316CAC" w:rsidP="003E7F85">
      <w:r>
        <w:continuationSeparator/>
      </w:r>
    </w:p>
  </w:footnote>
  <w:footnote w:type="continuationNotice" w:id="1">
    <w:p w14:paraId="065A9138" w14:textId="77777777" w:rsidR="00316CAC" w:rsidRDefault="00316C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16CAC"/>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1F2B"/>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3A6"/>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C6D53"/>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01F"/>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5FBE"/>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47E6A"/>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5973</TotalTime>
  <Pages>1</Pages>
  <Words>15726</Words>
  <Characters>89641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297</cp:revision>
  <cp:lastPrinted>2022-12-28T11:59:00Z</cp:lastPrinted>
  <dcterms:created xsi:type="dcterms:W3CDTF">2022-07-11T07:01:00Z</dcterms:created>
  <dcterms:modified xsi:type="dcterms:W3CDTF">2024-09-26T04:59:00Z</dcterms:modified>
  <cp:contentStatus/>
</cp:coreProperties>
</file>