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tc>
          <w:tcPr>
            <w:tcW w:w="3794" w:type="dxa"/>
          </w:tcPr>
          <w:p w14:paraId="3B247B39"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pPr>
              <w:tabs>
                <w:tab w:val="left" w:pos="3469"/>
              </w:tabs>
              <w:rPr>
                <w:rFonts w:ascii="Book Antiqua" w:eastAsia="Times New Roman" w:hAnsi="Book Antiqua" w:cs="Arial"/>
                <w:b/>
                <w:bCs/>
                <w:szCs w:val="22"/>
                <w:lang w:eastAsia="en-IN"/>
              </w:rPr>
            </w:pPr>
          </w:p>
          <w:p w14:paraId="09187C2F" w14:textId="77777777" w:rsidR="007C47AE" w:rsidRDefault="007C47AE">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59A6C02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 xml:space="preserve">Field Engineer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35B858CC"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fit inter-alia including banning/b</w:t>
      </w:r>
      <w:r w:rsidR="00FA61B3">
        <w:rPr>
          <w:rFonts w:ascii="Book Antiqua" w:hAnsi="Book Antiqua" w:cs="Arial"/>
          <w:szCs w:val="22"/>
        </w:rPr>
        <w:t>l</w:t>
      </w:r>
      <w:r w:rsidR="009A7063">
        <w:rPr>
          <w:rFonts w:ascii="Book Antiqua" w:hAnsi="Book Antiqua" w:cs="Arial"/>
          <w:szCs w:val="22"/>
        </w:rPr>
        <w:t xml:space="preserve">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277456" w:rsidRDefault="00277456" w:rsidP="00B64E06">
      <w:pPr>
        <w:spacing w:after="0" w:line="240" w:lineRule="auto"/>
      </w:pPr>
      <w:r>
        <w:separator/>
      </w:r>
    </w:p>
  </w:endnote>
  <w:endnote w:type="continuationSeparator" w:id="0">
    <w:p w14:paraId="452BCD61" w14:textId="77777777" w:rsidR="00277456" w:rsidRDefault="00277456" w:rsidP="00B64E06">
      <w:pPr>
        <w:spacing w:after="0" w:line="240" w:lineRule="auto"/>
      </w:pPr>
      <w:r>
        <w:continuationSeparator/>
      </w:r>
    </w:p>
  </w:endnote>
  <w:endnote w:type="continuationNotice" w:id="1">
    <w:p w14:paraId="60F6B15C" w14:textId="77777777" w:rsidR="00277456" w:rsidRDefault="0027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altName w:val="Cambria"/>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277456" w:rsidRDefault="00277456" w:rsidP="00B64E06">
      <w:pPr>
        <w:spacing w:after="0" w:line="240" w:lineRule="auto"/>
      </w:pPr>
      <w:r>
        <w:separator/>
      </w:r>
    </w:p>
  </w:footnote>
  <w:footnote w:type="continuationSeparator" w:id="0">
    <w:p w14:paraId="4096275E" w14:textId="77777777" w:rsidR="00277456" w:rsidRDefault="00277456" w:rsidP="00B64E06">
      <w:pPr>
        <w:spacing w:after="0" w:line="240" w:lineRule="auto"/>
      </w:pPr>
      <w:r>
        <w:continuationSeparator/>
      </w:r>
    </w:p>
  </w:footnote>
  <w:footnote w:type="continuationNotice" w:id="1">
    <w:p w14:paraId="7E328BF1" w14:textId="77777777" w:rsidR="00277456" w:rsidRDefault="002774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C7B3E"/>
    <w:rsid w:val="001D5082"/>
    <w:rsid w:val="001E39EA"/>
    <w:rsid w:val="00220FF3"/>
    <w:rsid w:val="00225A5C"/>
    <w:rsid w:val="00277456"/>
    <w:rsid w:val="00293DE4"/>
    <w:rsid w:val="002F3D2C"/>
    <w:rsid w:val="0031661C"/>
    <w:rsid w:val="003218CE"/>
    <w:rsid w:val="00364D5D"/>
    <w:rsid w:val="0038132D"/>
    <w:rsid w:val="00381E68"/>
    <w:rsid w:val="003915C2"/>
    <w:rsid w:val="003B6592"/>
    <w:rsid w:val="003F44B0"/>
    <w:rsid w:val="00413100"/>
    <w:rsid w:val="00421A5D"/>
    <w:rsid w:val="00462EAC"/>
    <w:rsid w:val="00466EDC"/>
    <w:rsid w:val="00477CCD"/>
    <w:rsid w:val="00490571"/>
    <w:rsid w:val="004B7881"/>
    <w:rsid w:val="004F4D65"/>
    <w:rsid w:val="00533E91"/>
    <w:rsid w:val="0056293B"/>
    <w:rsid w:val="00580259"/>
    <w:rsid w:val="00581BB5"/>
    <w:rsid w:val="005A0354"/>
    <w:rsid w:val="005A26BD"/>
    <w:rsid w:val="005A5884"/>
    <w:rsid w:val="005B73A6"/>
    <w:rsid w:val="00617A42"/>
    <w:rsid w:val="006511A8"/>
    <w:rsid w:val="00664F1B"/>
    <w:rsid w:val="00667008"/>
    <w:rsid w:val="006B2550"/>
    <w:rsid w:val="006C0C9A"/>
    <w:rsid w:val="0073674E"/>
    <w:rsid w:val="00750BB8"/>
    <w:rsid w:val="007A1878"/>
    <w:rsid w:val="007A2A4A"/>
    <w:rsid w:val="007A5BF5"/>
    <w:rsid w:val="007B260D"/>
    <w:rsid w:val="007C47AE"/>
    <w:rsid w:val="008100AE"/>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A5B5B"/>
    <w:rsid w:val="00AD7E4C"/>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CF7DB3"/>
    <w:rsid w:val="00D25A9E"/>
    <w:rsid w:val="00D37208"/>
    <w:rsid w:val="00D64810"/>
    <w:rsid w:val="00D67629"/>
    <w:rsid w:val="00D74787"/>
    <w:rsid w:val="00D827F6"/>
    <w:rsid w:val="00D96123"/>
    <w:rsid w:val="00DA78E7"/>
    <w:rsid w:val="00DE4FCF"/>
    <w:rsid w:val="00DE508A"/>
    <w:rsid w:val="00DF12CD"/>
    <w:rsid w:val="00DF69EC"/>
    <w:rsid w:val="00DF72FA"/>
    <w:rsid w:val="00DF79B8"/>
    <w:rsid w:val="00E62C9F"/>
    <w:rsid w:val="00E75BD2"/>
    <w:rsid w:val="00E978E5"/>
    <w:rsid w:val="00EA2AE3"/>
    <w:rsid w:val="00EA7B47"/>
    <w:rsid w:val="00EC04C8"/>
    <w:rsid w:val="00F10C4E"/>
    <w:rsid w:val="00F164AB"/>
    <w:rsid w:val="00F37BFE"/>
    <w:rsid w:val="00F74586"/>
    <w:rsid w:val="00F761F2"/>
    <w:rsid w:val="00FA61B3"/>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8BC00FB3-F11C-4236-9FF2-B77BE316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628</Words>
  <Characters>3581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Mary Jose {एन मैरी जोस}</dc:creator>
  <cp:keywords/>
  <cp:lastModifiedBy>Rahul . {राहुल}</cp:lastModifiedBy>
  <cp:revision>67</cp:revision>
  <cp:lastPrinted>2019-05-22T22:58:00Z</cp:lastPrinted>
  <dcterms:created xsi:type="dcterms:W3CDTF">2019-05-22T22:54:00Z</dcterms:created>
  <dcterms:modified xsi:type="dcterms:W3CDTF">2024-09-25T06:10:00Z</dcterms:modified>
  <cp:contentStatus/>
</cp:coreProperties>
</file>